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8F7C8" w14:textId="4D939814" w:rsidR="00763BFE" w:rsidRDefault="00763BFE" w:rsidP="001A339D">
      <w:pPr>
        <w:pStyle w:val="Heading1"/>
        <w:spacing w:after="142" w:line="480" w:lineRule="auto"/>
        <w:ind w:left="-5"/>
        <w:rPr>
          <w:sz w:val="32"/>
          <w:szCs w:val="32"/>
        </w:rPr>
      </w:pPr>
      <w:r>
        <w:rPr>
          <w:sz w:val="32"/>
          <w:szCs w:val="32"/>
        </w:rPr>
        <w:t>Sup</w:t>
      </w:r>
      <w:r w:rsidR="00E13D34">
        <w:rPr>
          <w:sz w:val="32"/>
          <w:szCs w:val="32"/>
        </w:rPr>
        <w:t>p</w:t>
      </w:r>
      <w:r>
        <w:rPr>
          <w:sz w:val="32"/>
          <w:szCs w:val="32"/>
        </w:rPr>
        <w:t>orting information</w:t>
      </w:r>
      <w:r w:rsidR="00927F7C">
        <w:rPr>
          <w:sz w:val="32"/>
          <w:szCs w:val="32"/>
        </w:rPr>
        <w:t xml:space="preserve"> for </w:t>
      </w:r>
      <w:r w:rsidR="00927F7C" w:rsidRPr="00927F7C">
        <w:rPr>
          <w:sz w:val="32"/>
          <w:szCs w:val="32"/>
        </w:rPr>
        <w:t>doi:10.1016/j.biortech.2016.06.066</w:t>
      </w:r>
    </w:p>
    <w:p w14:paraId="1C4500F3" w14:textId="693A29C2" w:rsidR="00927F7C" w:rsidRPr="00927F7C" w:rsidRDefault="0099767E" w:rsidP="00927F7C">
      <w:pPr>
        <w:shd w:val="clear" w:color="auto" w:fill="FFFFFF"/>
        <w:spacing w:after="0" w:line="240" w:lineRule="auto"/>
        <w:ind w:left="0" w:right="0" w:firstLine="0"/>
        <w:jc w:val="left"/>
        <w:rPr>
          <w:color w:val="auto"/>
        </w:rPr>
      </w:pPr>
      <w:hyperlink r:id="rId8" w:tooltip="Go to Bioresource Technology on ScienceDirect" w:history="1">
        <w:r w:rsidR="00927F7C" w:rsidRPr="00927F7C">
          <w:rPr>
            <w:rStyle w:val="Hyperlink"/>
            <w:rFonts w:eastAsia="Calibri"/>
            <w:color w:val="auto"/>
            <w:u w:val="none"/>
            <w:bdr w:val="none" w:sz="0" w:space="0" w:color="auto" w:frame="1"/>
          </w:rPr>
          <w:t>Bioresource Technology</w:t>
        </w:r>
      </w:hyperlink>
      <w:r w:rsidR="00927F7C" w:rsidRPr="00927F7C">
        <w:rPr>
          <w:color w:val="auto"/>
        </w:rPr>
        <w:t xml:space="preserve"> </w:t>
      </w:r>
      <w:hyperlink r:id="rId9" w:tooltip="Go to table of contents for this volume/issue" w:history="1">
        <w:r w:rsidR="00927F7C" w:rsidRPr="00927F7C">
          <w:rPr>
            <w:rStyle w:val="Hyperlink"/>
            <w:rFonts w:eastAsia="Calibri"/>
            <w:color w:val="auto"/>
            <w:u w:val="none"/>
          </w:rPr>
          <w:t>Volume 218</w:t>
        </w:r>
      </w:hyperlink>
      <w:r w:rsidR="00927F7C" w:rsidRPr="00927F7C">
        <w:rPr>
          <w:color w:val="auto"/>
        </w:rPr>
        <w:t>, October 2016, Pages 27–30</w:t>
      </w:r>
    </w:p>
    <w:p w14:paraId="10264160" w14:textId="77777777" w:rsidR="00927F7C" w:rsidRPr="00927F7C" w:rsidRDefault="00927F7C" w:rsidP="00927F7C"/>
    <w:p w14:paraId="75EEF5E4" w14:textId="77777777" w:rsidR="00763BFE" w:rsidRDefault="00763BFE" w:rsidP="001A339D">
      <w:pPr>
        <w:pStyle w:val="Heading1"/>
        <w:spacing w:after="142" w:line="480" w:lineRule="auto"/>
        <w:ind w:left="-5"/>
        <w:rPr>
          <w:sz w:val="32"/>
          <w:szCs w:val="32"/>
        </w:rPr>
      </w:pPr>
    </w:p>
    <w:p w14:paraId="1BEAD628" w14:textId="4A6906EF" w:rsidR="0019579D" w:rsidRPr="001A339D" w:rsidRDefault="0019579D" w:rsidP="0019579D">
      <w:pPr>
        <w:pStyle w:val="Heading1"/>
        <w:spacing w:after="142" w:line="480" w:lineRule="auto"/>
        <w:ind w:left="-5"/>
        <w:rPr>
          <w:sz w:val="32"/>
          <w:szCs w:val="32"/>
        </w:rPr>
      </w:pPr>
      <w:r>
        <w:rPr>
          <w:sz w:val="32"/>
          <w:szCs w:val="32"/>
        </w:rPr>
        <w:t>Quantification of effective exoelectrogens by most probable number (MPN) in a microbial fuel cell</w:t>
      </w:r>
    </w:p>
    <w:p w14:paraId="4D3D035D" w14:textId="77777777" w:rsidR="001A339D" w:rsidRPr="001A339D" w:rsidRDefault="001A339D" w:rsidP="001A339D"/>
    <w:p w14:paraId="5E76DF79" w14:textId="07B2398F" w:rsidR="001A339D" w:rsidRPr="00521589" w:rsidRDefault="001A339D" w:rsidP="001A339D">
      <w:pPr>
        <w:pStyle w:val="Heading1"/>
        <w:spacing w:after="142" w:line="480" w:lineRule="auto"/>
        <w:ind w:left="-5"/>
        <w:rPr>
          <w:szCs w:val="24"/>
        </w:rPr>
      </w:pPr>
      <w:r w:rsidRPr="00521589">
        <w:rPr>
          <w:szCs w:val="24"/>
        </w:rPr>
        <w:t>E</w:t>
      </w:r>
      <w:r>
        <w:rPr>
          <w:szCs w:val="24"/>
        </w:rPr>
        <w:t xml:space="preserve">lizabeth </w:t>
      </w:r>
      <w:r w:rsidRPr="00521589">
        <w:rPr>
          <w:szCs w:val="24"/>
        </w:rPr>
        <w:t>S. Heidrich</w:t>
      </w:r>
      <w:r w:rsidRPr="00521589">
        <w:rPr>
          <w:szCs w:val="24"/>
          <w:vertAlign w:val="superscript"/>
        </w:rPr>
        <w:t>a</w:t>
      </w:r>
      <w:r w:rsidRPr="00521589">
        <w:rPr>
          <w:szCs w:val="24"/>
        </w:rPr>
        <w:t>, T</w:t>
      </w:r>
      <w:r>
        <w:rPr>
          <w:szCs w:val="24"/>
        </w:rPr>
        <w:t xml:space="preserve">homas </w:t>
      </w:r>
      <w:r w:rsidRPr="00521589">
        <w:rPr>
          <w:szCs w:val="24"/>
        </w:rPr>
        <w:t>P. Curtis</w:t>
      </w:r>
      <w:r w:rsidRPr="00521589">
        <w:rPr>
          <w:szCs w:val="24"/>
          <w:vertAlign w:val="superscript"/>
        </w:rPr>
        <w:t>a</w:t>
      </w:r>
      <w:r>
        <w:rPr>
          <w:szCs w:val="24"/>
        </w:rPr>
        <w:t>, Stephen Woodcock</w:t>
      </w:r>
      <w:r>
        <w:rPr>
          <w:szCs w:val="24"/>
          <w:vertAlign w:val="superscript"/>
        </w:rPr>
        <w:t>b</w:t>
      </w:r>
      <w:r w:rsidR="00235750">
        <w:rPr>
          <w:szCs w:val="24"/>
          <w:vertAlign w:val="superscript"/>
        </w:rPr>
        <w:t xml:space="preserve"> </w:t>
      </w:r>
      <w:r w:rsidRPr="00521589">
        <w:rPr>
          <w:szCs w:val="24"/>
        </w:rPr>
        <w:t>and J</w:t>
      </w:r>
      <w:r>
        <w:rPr>
          <w:szCs w:val="24"/>
        </w:rPr>
        <w:t>an</w:t>
      </w:r>
      <w:r w:rsidRPr="00521589">
        <w:rPr>
          <w:szCs w:val="24"/>
        </w:rPr>
        <w:t xml:space="preserve"> Dolfing</w:t>
      </w:r>
      <w:r w:rsidRPr="00521589">
        <w:rPr>
          <w:szCs w:val="24"/>
          <w:vertAlign w:val="superscript"/>
        </w:rPr>
        <w:t>a</w:t>
      </w:r>
      <w:r w:rsidR="003134D6">
        <w:rPr>
          <w:szCs w:val="24"/>
          <w:vertAlign w:val="superscript"/>
        </w:rPr>
        <w:t>*</w:t>
      </w:r>
      <w:r w:rsidRPr="00521589">
        <w:rPr>
          <w:szCs w:val="24"/>
        </w:rPr>
        <w:t xml:space="preserve"> </w:t>
      </w:r>
    </w:p>
    <w:p w14:paraId="116819EC" w14:textId="77777777" w:rsidR="001A339D" w:rsidRPr="00521589" w:rsidRDefault="001A339D" w:rsidP="001A339D">
      <w:pPr>
        <w:spacing w:after="70" w:line="480" w:lineRule="auto"/>
        <w:ind w:left="0" w:right="0" w:firstLine="0"/>
        <w:jc w:val="left"/>
        <w:rPr>
          <w:szCs w:val="24"/>
        </w:rPr>
      </w:pPr>
      <w:r w:rsidRPr="00521589">
        <w:rPr>
          <w:b/>
          <w:szCs w:val="24"/>
        </w:rPr>
        <w:t xml:space="preserve"> </w:t>
      </w:r>
    </w:p>
    <w:p w14:paraId="61B73AF7" w14:textId="4DBBA365" w:rsidR="001A339D" w:rsidRDefault="001A339D" w:rsidP="001A339D">
      <w:pPr>
        <w:spacing w:after="0" w:line="480" w:lineRule="auto"/>
        <w:ind w:left="-5" w:right="0"/>
        <w:jc w:val="left"/>
        <w:rPr>
          <w:szCs w:val="24"/>
        </w:rPr>
      </w:pPr>
      <w:r w:rsidRPr="00521589">
        <w:rPr>
          <w:szCs w:val="24"/>
          <w:vertAlign w:val="superscript"/>
        </w:rPr>
        <w:t>a</w:t>
      </w:r>
      <w:r w:rsidR="002D558C">
        <w:rPr>
          <w:szCs w:val="24"/>
          <w:vertAlign w:val="superscript"/>
        </w:rPr>
        <w:t xml:space="preserve"> </w:t>
      </w:r>
      <w:r w:rsidRPr="00521589">
        <w:rPr>
          <w:szCs w:val="24"/>
        </w:rPr>
        <w:t xml:space="preserve">School of Civil Engineering and Geosciences, Newcastle University, Newcastle upon Tyne NE1 7RU, UK </w:t>
      </w:r>
    </w:p>
    <w:p w14:paraId="4D5DF377" w14:textId="77777777" w:rsidR="001A339D" w:rsidRPr="0006472B" w:rsidRDefault="001A339D" w:rsidP="001A339D">
      <w:pPr>
        <w:spacing w:after="0" w:line="480" w:lineRule="auto"/>
        <w:ind w:left="-5" w:right="0"/>
        <w:jc w:val="left"/>
        <w:rPr>
          <w:szCs w:val="24"/>
        </w:rPr>
      </w:pPr>
      <w:r>
        <w:rPr>
          <w:szCs w:val="24"/>
          <w:vertAlign w:val="superscript"/>
        </w:rPr>
        <w:t>b</w:t>
      </w:r>
      <w:r>
        <w:rPr>
          <w:szCs w:val="24"/>
        </w:rPr>
        <w:t xml:space="preserve"> </w:t>
      </w:r>
      <w:r w:rsidRPr="00D268F0">
        <w:rPr>
          <w:szCs w:val="24"/>
        </w:rPr>
        <w:t>School of Mathematical Sciences, University of Technology Sydney, Sydney, Australia</w:t>
      </w:r>
    </w:p>
    <w:p w14:paraId="2851FEFD" w14:textId="77777777" w:rsidR="001A339D" w:rsidRDefault="001A339D" w:rsidP="001A339D">
      <w:pPr>
        <w:spacing w:after="132" w:line="480" w:lineRule="auto"/>
        <w:ind w:left="-5" w:right="0"/>
        <w:jc w:val="left"/>
        <w:rPr>
          <w:szCs w:val="24"/>
        </w:rPr>
      </w:pPr>
    </w:p>
    <w:p w14:paraId="6CAFF2D2" w14:textId="31956D4C" w:rsidR="001A339D" w:rsidRPr="00C55E6D" w:rsidRDefault="001A339D" w:rsidP="001A339D">
      <w:pPr>
        <w:pStyle w:val="Heading1"/>
        <w:spacing w:after="142" w:line="480" w:lineRule="auto"/>
        <w:ind w:left="-5"/>
        <w:rPr>
          <w:sz w:val="28"/>
          <w:szCs w:val="24"/>
        </w:rPr>
      </w:pPr>
      <w:r>
        <w:rPr>
          <w:szCs w:val="24"/>
        </w:rPr>
        <w:t xml:space="preserve">Running title: </w:t>
      </w:r>
      <w:r w:rsidRPr="001A339D">
        <w:rPr>
          <w:b w:val="0"/>
          <w:szCs w:val="24"/>
        </w:rPr>
        <w:t>quantifying electrogens by MPN</w:t>
      </w:r>
    </w:p>
    <w:p w14:paraId="350343FF" w14:textId="77777777" w:rsidR="001A339D" w:rsidRDefault="001A339D" w:rsidP="001A339D">
      <w:pPr>
        <w:spacing w:after="132" w:line="480" w:lineRule="auto"/>
        <w:ind w:left="-5" w:right="0"/>
        <w:jc w:val="left"/>
        <w:rPr>
          <w:szCs w:val="24"/>
        </w:rPr>
      </w:pPr>
    </w:p>
    <w:p w14:paraId="59546214" w14:textId="77777777" w:rsidR="001A339D" w:rsidRDefault="001A339D" w:rsidP="001A339D">
      <w:pPr>
        <w:spacing w:after="132" w:line="480" w:lineRule="auto"/>
        <w:ind w:left="-5" w:right="0"/>
        <w:jc w:val="left"/>
        <w:rPr>
          <w:szCs w:val="24"/>
        </w:rPr>
      </w:pPr>
    </w:p>
    <w:p w14:paraId="77126513" w14:textId="206E70A4" w:rsidR="009F6F92" w:rsidRDefault="003134D6" w:rsidP="00763BFE">
      <w:pPr>
        <w:spacing w:after="132" w:line="480" w:lineRule="auto"/>
        <w:ind w:left="-5" w:right="0"/>
        <w:jc w:val="left"/>
        <w:rPr>
          <w:szCs w:val="24"/>
        </w:rPr>
      </w:pPr>
      <w:r>
        <w:rPr>
          <w:szCs w:val="24"/>
        </w:rPr>
        <w:t>* Corresponding author</w:t>
      </w:r>
      <w:r w:rsidR="00763BFE">
        <w:rPr>
          <w:szCs w:val="24"/>
        </w:rPr>
        <w:t xml:space="preserve">:  </w:t>
      </w:r>
      <w:r w:rsidR="009F6F92">
        <w:rPr>
          <w:szCs w:val="24"/>
        </w:rPr>
        <w:t>Jan Dolfing</w:t>
      </w:r>
      <w:r w:rsidR="00763BFE">
        <w:rPr>
          <w:szCs w:val="24"/>
        </w:rPr>
        <w:t xml:space="preserve">, </w:t>
      </w:r>
      <w:r w:rsidR="009F6F92">
        <w:rPr>
          <w:szCs w:val="24"/>
        </w:rPr>
        <w:t>School of Civil Engineering and Geosciences</w:t>
      </w:r>
      <w:r w:rsidR="00763BFE">
        <w:rPr>
          <w:szCs w:val="24"/>
        </w:rPr>
        <w:t xml:space="preserve">,  </w:t>
      </w:r>
      <w:r w:rsidR="009F6F92">
        <w:rPr>
          <w:szCs w:val="24"/>
        </w:rPr>
        <w:t>Newcastle University</w:t>
      </w:r>
      <w:r w:rsidR="00763BFE">
        <w:rPr>
          <w:szCs w:val="24"/>
        </w:rPr>
        <w:t xml:space="preserve">, </w:t>
      </w:r>
      <w:r w:rsidR="009F6F92">
        <w:rPr>
          <w:szCs w:val="24"/>
        </w:rPr>
        <w:t>Newcastle upon Tyne NE1 7RU</w:t>
      </w:r>
      <w:r w:rsidR="00763BFE">
        <w:rPr>
          <w:szCs w:val="24"/>
        </w:rPr>
        <w:t xml:space="preserve">, </w:t>
      </w:r>
      <w:r w:rsidR="009F6F92">
        <w:rPr>
          <w:szCs w:val="24"/>
        </w:rPr>
        <w:t>UK</w:t>
      </w:r>
    </w:p>
    <w:p w14:paraId="136AA563" w14:textId="57CC94E0" w:rsidR="009F6F92" w:rsidRDefault="009F6F92" w:rsidP="00763BFE">
      <w:pPr>
        <w:spacing w:after="132" w:line="480" w:lineRule="auto"/>
        <w:ind w:left="0" w:right="0" w:firstLine="0"/>
        <w:jc w:val="left"/>
        <w:rPr>
          <w:szCs w:val="24"/>
        </w:rPr>
      </w:pPr>
      <w:r>
        <w:rPr>
          <w:szCs w:val="24"/>
        </w:rPr>
        <w:t>Phone: + 44 191 208 8352</w:t>
      </w:r>
    </w:p>
    <w:p w14:paraId="47A54471" w14:textId="141FFB16" w:rsidR="009F6F92" w:rsidRDefault="009F6F92" w:rsidP="001A339D">
      <w:pPr>
        <w:spacing w:after="132" w:line="480" w:lineRule="auto"/>
        <w:ind w:left="-5" w:right="0"/>
        <w:jc w:val="left"/>
        <w:rPr>
          <w:szCs w:val="24"/>
        </w:rPr>
      </w:pPr>
      <w:r>
        <w:rPr>
          <w:szCs w:val="24"/>
        </w:rPr>
        <w:t xml:space="preserve">Fax+ + 44 191 </w:t>
      </w:r>
      <w:r w:rsidR="002D558C">
        <w:rPr>
          <w:szCs w:val="24"/>
        </w:rPr>
        <w:t>208 6502</w:t>
      </w:r>
      <w:r>
        <w:rPr>
          <w:szCs w:val="24"/>
        </w:rPr>
        <w:t xml:space="preserve"> </w:t>
      </w:r>
    </w:p>
    <w:p w14:paraId="3B55353A" w14:textId="4F5314E0" w:rsidR="00930CE4" w:rsidRDefault="001A339D" w:rsidP="00930CE4">
      <w:pPr>
        <w:spacing w:after="132" w:line="480" w:lineRule="auto"/>
        <w:ind w:left="-5" w:right="0"/>
        <w:jc w:val="left"/>
        <w:rPr>
          <w:b/>
          <w:szCs w:val="24"/>
        </w:rPr>
      </w:pPr>
      <w:r>
        <w:rPr>
          <w:szCs w:val="24"/>
        </w:rPr>
        <w:t xml:space="preserve"> </w:t>
      </w:r>
      <w:r w:rsidR="009F6F92">
        <w:rPr>
          <w:szCs w:val="24"/>
        </w:rPr>
        <w:t>E-mail:</w:t>
      </w:r>
      <w:r>
        <w:rPr>
          <w:szCs w:val="24"/>
        </w:rPr>
        <w:t xml:space="preserve"> </w:t>
      </w:r>
      <w:hyperlink r:id="rId10" w:history="1">
        <w:r w:rsidR="009F6F92" w:rsidRPr="00CE054B">
          <w:rPr>
            <w:rStyle w:val="Hyperlink"/>
            <w:szCs w:val="24"/>
          </w:rPr>
          <w:t>jan.dolfing@ncl.ac.uk</w:t>
        </w:r>
      </w:hyperlink>
    </w:p>
    <w:p w14:paraId="0CC1546A" w14:textId="77777777" w:rsidR="00930CE4" w:rsidRDefault="00930CE4" w:rsidP="00930CE4">
      <w:pPr>
        <w:spacing w:after="132" w:line="480" w:lineRule="auto"/>
        <w:ind w:left="-5" w:right="0"/>
        <w:jc w:val="left"/>
        <w:rPr>
          <w:szCs w:val="24"/>
        </w:rPr>
      </w:pPr>
    </w:p>
    <w:p w14:paraId="0A0CB8E2" w14:textId="77777777" w:rsidR="00930CE4" w:rsidRDefault="00930CE4" w:rsidP="00930CE4">
      <w:pPr>
        <w:spacing w:after="132" w:line="480" w:lineRule="auto"/>
        <w:ind w:left="-5" w:right="0"/>
        <w:jc w:val="left"/>
        <w:rPr>
          <w:szCs w:val="24"/>
        </w:rPr>
      </w:pPr>
    </w:p>
    <w:p w14:paraId="1A29D1CF" w14:textId="77777777" w:rsidR="00930CE4" w:rsidRDefault="00930CE4" w:rsidP="00930CE4">
      <w:pPr>
        <w:spacing w:after="132" w:line="480" w:lineRule="auto"/>
        <w:ind w:left="-5" w:right="0"/>
        <w:jc w:val="left"/>
        <w:rPr>
          <w:szCs w:val="24"/>
        </w:rPr>
      </w:pPr>
    </w:p>
    <w:p w14:paraId="6EA11797" w14:textId="7F960BC1" w:rsidR="001A339D" w:rsidRPr="00F573BB" w:rsidRDefault="00F573BB" w:rsidP="00235750">
      <w:pPr>
        <w:spacing w:after="132" w:line="480" w:lineRule="auto"/>
        <w:ind w:left="0" w:right="0" w:firstLine="0"/>
        <w:jc w:val="left"/>
        <w:rPr>
          <w:szCs w:val="24"/>
        </w:rPr>
      </w:pPr>
      <w:r>
        <w:rPr>
          <w:szCs w:val="24"/>
        </w:rPr>
        <w:br w:type="column"/>
      </w:r>
      <w:r w:rsidR="008A709A">
        <w:rPr>
          <w:b/>
          <w:szCs w:val="24"/>
        </w:rPr>
        <w:lastRenderedPageBreak/>
        <w:t>Experimental methods and p</w:t>
      </w:r>
      <w:r w:rsidR="00763BFE">
        <w:rPr>
          <w:b/>
          <w:szCs w:val="24"/>
        </w:rPr>
        <w:t>rocedures</w:t>
      </w:r>
    </w:p>
    <w:p w14:paraId="1AB8EC85" w14:textId="77777777" w:rsidR="006E6D01" w:rsidRDefault="006E6D01" w:rsidP="006E6D01">
      <w:pPr>
        <w:keepNext/>
        <w:keepLines/>
        <w:spacing w:after="110" w:line="480" w:lineRule="auto"/>
        <w:ind w:left="0" w:firstLine="0"/>
        <w:outlineLvl w:val="1"/>
        <w:rPr>
          <w:b/>
          <w:szCs w:val="24"/>
        </w:rPr>
      </w:pPr>
    </w:p>
    <w:p w14:paraId="4E3A7E1C" w14:textId="7BA0287C" w:rsidR="00235750" w:rsidRPr="00235750" w:rsidRDefault="00235750" w:rsidP="006E6D01">
      <w:pPr>
        <w:keepNext/>
        <w:keepLines/>
        <w:spacing w:after="110" w:line="480" w:lineRule="auto"/>
        <w:ind w:left="0" w:firstLine="0"/>
        <w:outlineLvl w:val="1"/>
        <w:rPr>
          <w:i/>
          <w:szCs w:val="24"/>
        </w:rPr>
      </w:pPr>
      <w:r w:rsidRPr="00235750">
        <w:rPr>
          <w:i/>
          <w:szCs w:val="24"/>
        </w:rPr>
        <w:t xml:space="preserve">Method of </w:t>
      </w:r>
      <w:r w:rsidR="00E15E17">
        <w:rPr>
          <w:i/>
          <w:szCs w:val="24"/>
        </w:rPr>
        <w:t>s</w:t>
      </w:r>
      <w:r w:rsidRPr="00235750">
        <w:rPr>
          <w:i/>
          <w:szCs w:val="24"/>
        </w:rPr>
        <w:t xml:space="preserve">ubstrate </w:t>
      </w:r>
      <w:r w:rsidR="00E15E17">
        <w:rPr>
          <w:i/>
          <w:szCs w:val="24"/>
        </w:rPr>
        <w:t>s</w:t>
      </w:r>
      <w:r w:rsidRPr="00235750">
        <w:rPr>
          <w:i/>
          <w:szCs w:val="24"/>
        </w:rPr>
        <w:t xml:space="preserve">terilisation  </w:t>
      </w:r>
    </w:p>
    <w:p w14:paraId="7EC31054" w14:textId="23C1C537" w:rsidR="00235750" w:rsidRDefault="00235750" w:rsidP="00235750">
      <w:pPr>
        <w:spacing w:after="80" w:line="480" w:lineRule="auto"/>
        <w:ind w:left="-130" w:hanging="14"/>
        <w:rPr>
          <w:szCs w:val="24"/>
        </w:rPr>
      </w:pPr>
      <w:r w:rsidRPr="001F629F">
        <w:rPr>
          <w:szCs w:val="24"/>
        </w:rPr>
        <w:t xml:space="preserve">Three methods of wastewater sterilisation were compared, these were autoclaving, membrane filtration and UV sterilisation. The UV sterilisation method was optimised, finding that a 5 minute exposure using pumped circulation through a 3.9 lpm ultra violet system UV3.9WL (East Midlands Water, UK) produced the best bacterial kill  was determined using Agar enumeration method 9215C with serial dilutions into </w:t>
      </w:r>
      <w:r>
        <w:rPr>
          <w:szCs w:val="24"/>
        </w:rPr>
        <w:t>¼ strength Ringers sterile dilu</w:t>
      </w:r>
      <w:r w:rsidRPr="001F629F">
        <w:rPr>
          <w:szCs w:val="24"/>
        </w:rPr>
        <w:t>ent (</w:t>
      </w:r>
      <w:r w:rsidRPr="00E13D34">
        <w:rPr>
          <w:color w:val="00B0F0"/>
          <w:szCs w:val="24"/>
        </w:rPr>
        <w:t>APHA</w:t>
      </w:r>
      <w:r w:rsidR="00E13D34">
        <w:rPr>
          <w:color w:val="00B0F0"/>
          <w:szCs w:val="24"/>
        </w:rPr>
        <w:t>,</w:t>
      </w:r>
      <w:r w:rsidRPr="00E13D34">
        <w:rPr>
          <w:color w:val="00B0F0"/>
          <w:szCs w:val="24"/>
        </w:rPr>
        <w:t xml:space="preserve"> 1998</w:t>
      </w:r>
      <w:r w:rsidRPr="001F629F">
        <w:rPr>
          <w:szCs w:val="24"/>
        </w:rPr>
        <w:t xml:space="preserve">). </w:t>
      </w:r>
    </w:p>
    <w:p w14:paraId="3504D8AE" w14:textId="1C5673AF" w:rsidR="00235750" w:rsidRPr="001F629F" w:rsidRDefault="00235750" w:rsidP="00235750">
      <w:pPr>
        <w:spacing w:after="80" w:line="480" w:lineRule="auto"/>
        <w:ind w:left="-130" w:hanging="14"/>
        <w:rPr>
          <w:szCs w:val="24"/>
        </w:rPr>
      </w:pPr>
      <w:r w:rsidRPr="001F629F">
        <w:rPr>
          <w:szCs w:val="24"/>
        </w:rPr>
        <w:t xml:space="preserve">  </w:t>
      </w:r>
    </w:p>
    <w:tbl>
      <w:tblPr>
        <w:tblStyle w:val="TableGrid"/>
        <w:tblpPr w:leftFromText="180" w:rightFromText="180" w:vertAnchor="text" w:horzAnchor="margin" w:tblpY="1014"/>
        <w:tblW w:w="9244" w:type="dxa"/>
        <w:tblInd w:w="0" w:type="dxa"/>
        <w:tblCellMar>
          <w:top w:w="5" w:type="dxa"/>
          <w:bottom w:w="5" w:type="dxa"/>
          <w:right w:w="54" w:type="dxa"/>
        </w:tblCellMar>
        <w:tblLook w:val="04A0" w:firstRow="1" w:lastRow="0" w:firstColumn="1" w:lastColumn="0" w:noHBand="0" w:noVBand="1"/>
      </w:tblPr>
      <w:tblGrid>
        <w:gridCol w:w="3389"/>
        <w:gridCol w:w="1534"/>
        <w:gridCol w:w="1269"/>
        <w:gridCol w:w="1669"/>
        <w:gridCol w:w="1383"/>
      </w:tblGrid>
      <w:tr w:rsidR="00235750" w:rsidRPr="001F629F" w14:paraId="2F9C4452" w14:textId="77777777" w:rsidTr="00915C00">
        <w:trPr>
          <w:trHeight w:val="562"/>
        </w:trPr>
        <w:tc>
          <w:tcPr>
            <w:tcW w:w="3389" w:type="dxa"/>
            <w:tcBorders>
              <w:top w:val="single" w:sz="4" w:space="0" w:color="000000"/>
              <w:left w:val="nil"/>
              <w:bottom w:val="single" w:sz="4" w:space="0" w:color="000000"/>
              <w:right w:val="nil"/>
            </w:tcBorders>
            <w:vAlign w:val="bottom"/>
          </w:tcPr>
          <w:p w14:paraId="15F96341" w14:textId="77777777" w:rsidR="00235750" w:rsidRPr="001F629F" w:rsidRDefault="00235750" w:rsidP="00915C00">
            <w:pPr>
              <w:spacing w:line="480" w:lineRule="auto"/>
              <w:ind w:right="7"/>
              <w:jc w:val="center"/>
              <w:rPr>
                <w:szCs w:val="24"/>
              </w:rPr>
            </w:pPr>
          </w:p>
        </w:tc>
        <w:tc>
          <w:tcPr>
            <w:tcW w:w="1534" w:type="dxa"/>
            <w:tcBorders>
              <w:top w:val="single" w:sz="4" w:space="0" w:color="000000"/>
              <w:left w:val="nil"/>
              <w:bottom w:val="single" w:sz="4" w:space="0" w:color="000000"/>
              <w:right w:val="nil"/>
            </w:tcBorders>
            <w:vAlign w:val="center"/>
          </w:tcPr>
          <w:p w14:paraId="1B617880" w14:textId="77777777" w:rsidR="00235750" w:rsidRPr="001F629F" w:rsidRDefault="00235750" w:rsidP="00915C00">
            <w:pPr>
              <w:spacing w:line="480" w:lineRule="auto"/>
              <w:jc w:val="center"/>
              <w:rPr>
                <w:szCs w:val="24"/>
              </w:rPr>
            </w:pPr>
            <w:r w:rsidRPr="001F629F">
              <w:rPr>
                <w:b/>
                <w:szCs w:val="24"/>
              </w:rPr>
              <w:t>TCOD</w:t>
            </w:r>
          </w:p>
        </w:tc>
        <w:tc>
          <w:tcPr>
            <w:tcW w:w="1269" w:type="dxa"/>
            <w:tcBorders>
              <w:top w:val="single" w:sz="4" w:space="0" w:color="000000"/>
              <w:left w:val="nil"/>
              <w:bottom w:val="single" w:sz="4" w:space="0" w:color="000000"/>
              <w:right w:val="nil"/>
            </w:tcBorders>
          </w:tcPr>
          <w:p w14:paraId="05588FB5" w14:textId="77777777" w:rsidR="00235750" w:rsidRPr="001F629F" w:rsidRDefault="00235750" w:rsidP="00915C00">
            <w:pPr>
              <w:spacing w:line="480" w:lineRule="auto"/>
              <w:jc w:val="center"/>
              <w:rPr>
                <w:szCs w:val="24"/>
              </w:rPr>
            </w:pPr>
            <w:r w:rsidRPr="001F629F">
              <w:rPr>
                <w:b/>
                <w:szCs w:val="24"/>
              </w:rPr>
              <w:t>Soluble</w:t>
            </w:r>
          </w:p>
          <w:p w14:paraId="318DD7FD" w14:textId="77777777" w:rsidR="00235750" w:rsidRPr="001F629F" w:rsidRDefault="00235750" w:rsidP="00915C00">
            <w:pPr>
              <w:spacing w:line="480" w:lineRule="auto"/>
              <w:jc w:val="center"/>
              <w:rPr>
                <w:szCs w:val="24"/>
              </w:rPr>
            </w:pPr>
            <w:r w:rsidRPr="001F629F">
              <w:rPr>
                <w:b/>
                <w:szCs w:val="24"/>
              </w:rPr>
              <w:t>COD</w:t>
            </w:r>
          </w:p>
        </w:tc>
        <w:tc>
          <w:tcPr>
            <w:tcW w:w="1669" w:type="dxa"/>
            <w:tcBorders>
              <w:top w:val="single" w:sz="4" w:space="0" w:color="000000"/>
              <w:left w:val="nil"/>
              <w:bottom w:val="single" w:sz="4" w:space="0" w:color="000000"/>
              <w:right w:val="nil"/>
            </w:tcBorders>
            <w:vAlign w:val="center"/>
          </w:tcPr>
          <w:p w14:paraId="29A3D875" w14:textId="77777777" w:rsidR="00235750" w:rsidRPr="001F629F" w:rsidRDefault="00235750" w:rsidP="00915C00">
            <w:pPr>
              <w:spacing w:line="480" w:lineRule="auto"/>
              <w:jc w:val="center"/>
              <w:rPr>
                <w:szCs w:val="24"/>
              </w:rPr>
            </w:pPr>
            <w:r w:rsidRPr="001F629F">
              <w:rPr>
                <w:b/>
                <w:szCs w:val="24"/>
              </w:rPr>
              <w:t>Total Solids</w:t>
            </w:r>
          </w:p>
        </w:tc>
        <w:tc>
          <w:tcPr>
            <w:tcW w:w="1383" w:type="dxa"/>
            <w:tcBorders>
              <w:top w:val="single" w:sz="4" w:space="0" w:color="000000"/>
              <w:left w:val="nil"/>
              <w:bottom w:val="single" w:sz="4" w:space="0" w:color="000000"/>
              <w:right w:val="nil"/>
            </w:tcBorders>
          </w:tcPr>
          <w:p w14:paraId="0DB3C84A" w14:textId="77777777" w:rsidR="00235750" w:rsidRPr="001F629F" w:rsidRDefault="00235750" w:rsidP="00915C00">
            <w:pPr>
              <w:spacing w:line="480" w:lineRule="auto"/>
              <w:jc w:val="center"/>
              <w:rPr>
                <w:szCs w:val="24"/>
              </w:rPr>
            </w:pPr>
            <w:r w:rsidRPr="001F629F">
              <w:rPr>
                <w:b/>
                <w:szCs w:val="24"/>
              </w:rPr>
              <w:t>Bacteria per</w:t>
            </w:r>
          </w:p>
          <w:p w14:paraId="451772CF" w14:textId="77777777" w:rsidR="00235750" w:rsidRPr="001F629F" w:rsidRDefault="00235750" w:rsidP="00915C00">
            <w:pPr>
              <w:spacing w:line="480" w:lineRule="auto"/>
              <w:ind w:right="60"/>
              <w:jc w:val="center"/>
              <w:rPr>
                <w:szCs w:val="24"/>
              </w:rPr>
            </w:pPr>
            <w:r w:rsidRPr="001F629F">
              <w:rPr>
                <w:b/>
                <w:szCs w:val="24"/>
              </w:rPr>
              <w:t>0.1ml</w:t>
            </w:r>
          </w:p>
        </w:tc>
      </w:tr>
      <w:tr w:rsidR="00235750" w:rsidRPr="001F629F" w14:paraId="6D85007D" w14:textId="77777777" w:rsidTr="00915C00">
        <w:trPr>
          <w:trHeight w:val="554"/>
        </w:trPr>
        <w:tc>
          <w:tcPr>
            <w:tcW w:w="3389" w:type="dxa"/>
            <w:tcBorders>
              <w:top w:val="single" w:sz="4" w:space="0" w:color="000000"/>
              <w:left w:val="nil"/>
              <w:bottom w:val="nil"/>
              <w:right w:val="nil"/>
            </w:tcBorders>
            <w:vAlign w:val="center"/>
          </w:tcPr>
          <w:p w14:paraId="18F5BE74" w14:textId="77777777" w:rsidR="00235750" w:rsidRPr="001F629F" w:rsidRDefault="00235750" w:rsidP="00915C00">
            <w:pPr>
              <w:spacing w:line="480" w:lineRule="auto"/>
              <w:ind w:right="134"/>
              <w:rPr>
                <w:szCs w:val="24"/>
              </w:rPr>
            </w:pPr>
            <w:r w:rsidRPr="001F629F">
              <w:rPr>
                <w:szCs w:val="24"/>
              </w:rPr>
              <w:t>Autoclaved (121</w:t>
            </w:r>
            <w:r w:rsidRPr="001F629F">
              <w:rPr>
                <w:szCs w:val="24"/>
                <w:vertAlign w:val="superscript"/>
              </w:rPr>
              <w:t>o</w:t>
            </w:r>
            <w:r w:rsidRPr="001F629F">
              <w:rPr>
                <w:szCs w:val="24"/>
              </w:rPr>
              <w:t>C for 15 min)</w:t>
            </w:r>
          </w:p>
        </w:tc>
        <w:tc>
          <w:tcPr>
            <w:tcW w:w="1534" w:type="dxa"/>
            <w:tcBorders>
              <w:top w:val="single" w:sz="4" w:space="0" w:color="000000"/>
              <w:left w:val="nil"/>
              <w:bottom w:val="nil"/>
              <w:right w:val="nil"/>
            </w:tcBorders>
            <w:vAlign w:val="center"/>
          </w:tcPr>
          <w:p w14:paraId="2698389E" w14:textId="77777777" w:rsidR="00235750" w:rsidRPr="001F629F" w:rsidRDefault="00235750" w:rsidP="00915C00">
            <w:pPr>
              <w:spacing w:line="480" w:lineRule="auto"/>
              <w:jc w:val="center"/>
              <w:rPr>
                <w:szCs w:val="24"/>
              </w:rPr>
            </w:pPr>
            <w:r w:rsidRPr="001F629F">
              <w:rPr>
                <w:szCs w:val="24"/>
              </w:rPr>
              <w:t>-15.6% ± 0.9</w:t>
            </w:r>
          </w:p>
        </w:tc>
        <w:tc>
          <w:tcPr>
            <w:tcW w:w="1269" w:type="dxa"/>
            <w:tcBorders>
              <w:top w:val="single" w:sz="4" w:space="0" w:color="000000"/>
              <w:left w:val="nil"/>
              <w:bottom w:val="nil"/>
              <w:right w:val="nil"/>
            </w:tcBorders>
            <w:vAlign w:val="center"/>
          </w:tcPr>
          <w:p w14:paraId="38C0BC06" w14:textId="77777777" w:rsidR="00235750" w:rsidRPr="001F629F" w:rsidRDefault="00235750" w:rsidP="00915C00">
            <w:pPr>
              <w:spacing w:line="480" w:lineRule="auto"/>
              <w:jc w:val="center"/>
              <w:rPr>
                <w:szCs w:val="24"/>
              </w:rPr>
            </w:pPr>
            <w:r w:rsidRPr="001F629F">
              <w:rPr>
                <w:szCs w:val="24"/>
              </w:rPr>
              <w:t>21.6% ± 0.6</w:t>
            </w:r>
          </w:p>
        </w:tc>
        <w:tc>
          <w:tcPr>
            <w:tcW w:w="1669" w:type="dxa"/>
            <w:tcBorders>
              <w:top w:val="single" w:sz="4" w:space="0" w:color="000000"/>
              <w:left w:val="nil"/>
              <w:bottom w:val="nil"/>
              <w:right w:val="nil"/>
            </w:tcBorders>
            <w:vAlign w:val="center"/>
          </w:tcPr>
          <w:p w14:paraId="54F9F59D" w14:textId="77777777" w:rsidR="00235750" w:rsidRPr="001F629F" w:rsidRDefault="00235750" w:rsidP="00915C00">
            <w:pPr>
              <w:spacing w:line="480" w:lineRule="auto"/>
              <w:jc w:val="center"/>
              <w:rPr>
                <w:szCs w:val="24"/>
              </w:rPr>
            </w:pPr>
            <w:r w:rsidRPr="001F629F">
              <w:rPr>
                <w:szCs w:val="24"/>
              </w:rPr>
              <w:t>-13.3% ± 5.8</w:t>
            </w:r>
          </w:p>
        </w:tc>
        <w:tc>
          <w:tcPr>
            <w:tcW w:w="1383" w:type="dxa"/>
            <w:tcBorders>
              <w:top w:val="single" w:sz="4" w:space="0" w:color="000000"/>
              <w:left w:val="nil"/>
              <w:bottom w:val="nil"/>
              <w:right w:val="nil"/>
            </w:tcBorders>
            <w:vAlign w:val="center"/>
          </w:tcPr>
          <w:p w14:paraId="14507429" w14:textId="77777777" w:rsidR="00235750" w:rsidRPr="001F629F" w:rsidRDefault="00235750" w:rsidP="00915C00">
            <w:pPr>
              <w:spacing w:line="480" w:lineRule="auto"/>
              <w:ind w:right="57"/>
              <w:jc w:val="center"/>
              <w:rPr>
                <w:szCs w:val="24"/>
              </w:rPr>
            </w:pPr>
            <w:r w:rsidRPr="001F629F">
              <w:rPr>
                <w:szCs w:val="24"/>
              </w:rPr>
              <w:t>0</w:t>
            </w:r>
          </w:p>
        </w:tc>
      </w:tr>
      <w:tr w:rsidR="00235750" w:rsidRPr="001F629F" w14:paraId="344DFD63" w14:textId="77777777" w:rsidTr="00915C00">
        <w:trPr>
          <w:trHeight w:val="609"/>
        </w:trPr>
        <w:tc>
          <w:tcPr>
            <w:tcW w:w="3389" w:type="dxa"/>
            <w:tcBorders>
              <w:top w:val="nil"/>
              <w:left w:val="nil"/>
              <w:bottom w:val="nil"/>
              <w:right w:val="nil"/>
            </w:tcBorders>
            <w:vAlign w:val="center"/>
          </w:tcPr>
          <w:p w14:paraId="2270B313" w14:textId="77777777" w:rsidR="00235750" w:rsidRPr="001F629F" w:rsidRDefault="00235750" w:rsidP="00915C00">
            <w:pPr>
              <w:spacing w:line="480" w:lineRule="auto"/>
              <w:ind w:right="135"/>
              <w:rPr>
                <w:szCs w:val="24"/>
              </w:rPr>
            </w:pPr>
            <w:r w:rsidRPr="001F629F">
              <w:rPr>
                <w:szCs w:val="24"/>
              </w:rPr>
              <w:t>Membrane filtered (0.2µm PES)</w:t>
            </w:r>
          </w:p>
        </w:tc>
        <w:tc>
          <w:tcPr>
            <w:tcW w:w="1534" w:type="dxa"/>
            <w:tcBorders>
              <w:top w:val="nil"/>
              <w:left w:val="nil"/>
              <w:bottom w:val="nil"/>
              <w:right w:val="nil"/>
            </w:tcBorders>
            <w:vAlign w:val="center"/>
          </w:tcPr>
          <w:p w14:paraId="58929686" w14:textId="77777777" w:rsidR="00235750" w:rsidRPr="001F629F" w:rsidRDefault="00235750" w:rsidP="00915C00">
            <w:pPr>
              <w:spacing w:line="480" w:lineRule="auto"/>
              <w:jc w:val="center"/>
              <w:rPr>
                <w:szCs w:val="24"/>
              </w:rPr>
            </w:pPr>
            <w:r w:rsidRPr="001F629F">
              <w:rPr>
                <w:szCs w:val="24"/>
              </w:rPr>
              <w:t>-61.5% ± 0.5</w:t>
            </w:r>
          </w:p>
        </w:tc>
        <w:tc>
          <w:tcPr>
            <w:tcW w:w="1269" w:type="dxa"/>
            <w:tcBorders>
              <w:top w:val="nil"/>
              <w:left w:val="nil"/>
              <w:bottom w:val="nil"/>
              <w:right w:val="nil"/>
            </w:tcBorders>
            <w:vAlign w:val="center"/>
          </w:tcPr>
          <w:p w14:paraId="0AA57C7B" w14:textId="77777777" w:rsidR="00235750" w:rsidRPr="001F629F" w:rsidRDefault="00235750" w:rsidP="00915C00">
            <w:pPr>
              <w:spacing w:line="480" w:lineRule="auto"/>
              <w:jc w:val="center"/>
              <w:rPr>
                <w:szCs w:val="24"/>
              </w:rPr>
            </w:pPr>
            <w:r w:rsidRPr="001F629F">
              <w:rPr>
                <w:szCs w:val="24"/>
              </w:rPr>
              <w:t>22.8% ± 1.7</w:t>
            </w:r>
          </w:p>
        </w:tc>
        <w:tc>
          <w:tcPr>
            <w:tcW w:w="1669" w:type="dxa"/>
            <w:tcBorders>
              <w:top w:val="nil"/>
              <w:left w:val="nil"/>
              <w:bottom w:val="nil"/>
              <w:right w:val="nil"/>
            </w:tcBorders>
            <w:vAlign w:val="center"/>
          </w:tcPr>
          <w:p w14:paraId="09A54072" w14:textId="77777777" w:rsidR="00235750" w:rsidRPr="001F629F" w:rsidRDefault="00235750" w:rsidP="00915C00">
            <w:pPr>
              <w:spacing w:line="480" w:lineRule="auto"/>
              <w:jc w:val="center"/>
              <w:rPr>
                <w:szCs w:val="24"/>
              </w:rPr>
            </w:pPr>
            <w:r w:rsidRPr="001F629F">
              <w:rPr>
                <w:szCs w:val="24"/>
              </w:rPr>
              <w:t>-36.1% ± 11.7</w:t>
            </w:r>
          </w:p>
        </w:tc>
        <w:tc>
          <w:tcPr>
            <w:tcW w:w="1383" w:type="dxa"/>
            <w:tcBorders>
              <w:top w:val="nil"/>
              <w:left w:val="nil"/>
              <w:bottom w:val="nil"/>
              <w:right w:val="nil"/>
            </w:tcBorders>
            <w:vAlign w:val="center"/>
          </w:tcPr>
          <w:p w14:paraId="23A60D03" w14:textId="77777777" w:rsidR="00235750" w:rsidRPr="001F629F" w:rsidRDefault="00235750" w:rsidP="00915C00">
            <w:pPr>
              <w:spacing w:line="480" w:lineRule="auto"/>
              <w:ind w:right="57"/>
              <w:jc w:val="center"/>
              <w:rPr>
                <w:szCs w:val="24"/>
              </w:rPr>
            </w:pPr>
            <w:r w:rsidRPr="001F629F">
              <w:rPr>
                <w:szCs w:val="24"/>
              </w:rPr>
              <w:t>40 ±19</w:t>
            </w:r>
          </w:p>
        </w:tc>
      </w:tr>
      <w:tr w:rsidR="00235750" w:rsidRPr="001F629F" w14:paraId="76383EA8" w14:textId="77777777" w:rsidTr="00915C00">
        <w:trPr>
          <w:trHeight w:val="451"/>
        </w:trPr>
        <w:tc>
          <w:tcPr>
            <w:tcW w:w="3389" w:type="dxa"/>
            <w:tcBorders>
              <w:top w:val="nil"/>
              <w:left w:val="nil"/>
              <w:bottom w:val="single" w:sz="4" w:space="0" w:color="000000"/>
              <w:right w:val="nil"/>
            </w:tcBorders>
          </w:tcPr>
          <w:p w14:paraId="2EFE9BE1" w14:textId="77777777" w:rsidR="00235750" w:rsidRPr="001F629F" w:rsidRDefault="00235750" w:rsidP="00915C00">
            <w:pPr>
              <w:spacing w:line="480" w:lineRule="auto"/>
              <w:rPr>
                <w:szCs w:val="24"/>
              </w:rPr>
            </w:pPr>
            <w:r w:rsidRPr="001F629F">
              <w:rPr>
                <w:szCs w:val="24"/>
              </w:rPr>
              <w:t xml:space="preserve">UV sterilised (5 min) </w:t>
            </w:r>
          </w:p>
        </w:tc>
        <w:tc>
          <w:tcPr>
            <w:tcW w:w="1534" w:type="dxa"/>
            <w:tcBorders>
              <w:top w:val="nil"/>
              <w:left w:val="nil"/>
              <w:bottom w:val="single" w:sz="4" w:space="0" w:color="000000"/>
              <w:right w:val="nil"/>
            </w:tcBorders>
          </w:tcPr>
          <w:p w14:paraId="78AEC334" w14:textId="77777777" w:rsidR="00235750" w:rsidRPr="001F629F" w:rsidRDefault="00235750" w:rsidP="00915C00">
            <w:pPr>
              <w:spacing w:line="480" w:lineRule="auto"/>
              <w:jc w:val="center"/>
              <w:rPr>
                <w:szCs w:val="24"/>
              </w:rPr>
            </w:pPr>
            <w:r w:rsidRPr="001F629F">
              <w:rPr>
                <w:szCs w:val="24"/>
              </w:rPr>
              <w:t>-1.6% ± 0.4</w:t>
            </w:r>
          </w:p>
        </w:tc>
        <w:tc>
          <w:tcPr>
            <w:tcW w:w="1269" w:type="dxa"/>
            <w:tcBorders>
              <w:top w:val="nil"/>
              <w:left w:val="nil"/>
              <w:bottom w:val="single" w:sz="4" w:space="0" w:color="000000"/>
              <w:right w:val="nil"/>
            </w:tcBorders>
          </w:tcPr>
          <w:p w14:paraId="63839222" w14:textId="77777777" w:rsidR="00235750" w:rsidRPr="001F629F" w:rsidRDefault="00235750" w:rsidP="00915C00">
            <w:pPr>
              <w:spacing w:line="480" w:lineRule="auto"/>
              <w:jc w:val="center"/>
              <w:rPr>
                <w:szCs w:val="24"/>
              </w:rPr>
            </w:pPr>
            <w:r w:rsidRPr="001F629F">
              <w:rPr>
                <w:szCs w:val="24"/>
              </w:rPr>
              <w:t>7.2% ± 4.6</w:t>
            </w:r>
          </w:p>
        </w:tc>
        <w:tc>
          <w:tcPr>
            <w:tcW w:w="1669" w:type="dxa"/>
            <w:tcBorders>
              <w:top w:val="nil"/>
              <w:left w:val="nil"/>
              <w:bottom w:val="single" w:sz="4" w:space="0" w:color="000000"/>
              <w:right w:val="nil"/>
            </w:tcBorders>
          </w:tcPr>
          <w:p w14:paraId="498A0016" w14:textId="77777777" w:rsidR="00235750" w:rsidRPr="001F629F" w:rsidRDefault="00235750" w:rsidP="00915C00">
            <w:pPr>
              <w:spacing w:line="480" w:lineRule="auto"/>
              <w:jc w:val="center"/>
              <w:rPr>
                <w:szCs w:val="24"/>
              </w:rPr>
            </w:pPr>
            <w:r w:rsidRPr="001F629F">
              <w:rPr>
                <w:szCs w:val="24"/>
              </w:rPr>
              <w:t>-3.3% ± 6.7</w:t>
            </w:r>
          </w:p>
        </w:tc>
        <w:tc>
          <w:tcPr>
            <w:tcW w:w="1383" w:type="dxa"/>
            <w:tcBorders>
              <w:top w:val="nil"/>
              <w:left w:val="nil"/>
              <w:bottom w:val="single" w:sz="4" w:space="0" w:color="000000"/>
              <w:right w:val="nil"/>
            </w:tcBorders>
          </w:tcPr>
          <w:p w14:paraId="4E322EBF" w14:textId="77777777" w:rsidR="00235750" w:rsidRPr="001F629F" w:rsidRDefault="00235750" w:rsidP="00915C00">
            <w:pPr>
              <w:spacing w:line="480" w:lineRule="auto"/>
              <w:ind w:right="57"/>
              <w:jc w:val="center"/>
              <w:rPr>
                <w:szCs w:val="24"/>
              </w:rPr>
            </w:pPr>
            <w:r w:rsidRPr="001F629F">
              <w:rPr>
                <w:szCs w:val="24"/>
              </w:rPr>
              <w:t>0</w:t>
            </w:r>
          </w:p>
        </w:tc>
      </w:tr>
    </w:tbl>
    <w:p w14:paraId="735970BA" w14:textId="433E58E9" w:rsidR="00235750" w:rsidRDefault="00235750" w:rsidP="00235750">
      <w:pPr>
        <w:spacing w:line="480" w:lineRule="auto"/>
        <w:rPr>
          <w:b/>
          <w:szCs w:val="24"/>
        </w:rPr>
      </w:pPr>
      <w:r>
        <w:rPr>
          <w:b/>
          <w:szCs w:val="24"/>
        </w:rPr>
        <w:t>Table E1.</w:t>
      </w:r>
    </w:p>
    <w:p w14:paraId="66C8BB19" w14:textId="77777777" w:rsidR="00235750" w:rsidRPr="00235750" w:rsidRDefault="00235750" w:rsidP="00235750">
      <w:pPr>
        <w:spacing w:line="480" w:lineRule="auto"/>
        <w:rPr>
          <w:szCs w:val="24"/>
        </w:rPr>
      </w:pPr>
      <w:r w:rsidRPr="00235750">
        <w:rPr>
          <w:szCs w:val="24"/>
        </w:rPr>
        <w:t>Percentage change of wastewater characteristics caused by the different sterilisation</w:t>
      </w:r>
      <w:r w:rsidRPr="001F629F">
        <w:rPr>
          <w:b/>
          <w:szCs w:val="24"/>
        </w:rPr>
        <w:t xml:space="preserve"> </w:t>
      </w:r>
      <w:r w:rsidRPr="00235750">
        <w:rPr>
          <w:szCs w:val="24"/>
        </w:rPr>
        <w:t xml:space="preserve">methods </w:t>
      </w:r>
    </w:p>
    <w:p w14:paraId="3DBEA8E4" w14:textId="77777777" w:rsidR="00235750" w:rsidRPr="001F629F" w:rsidRDefault="00235750" w:rsidP="00235750">
      <w:pPr>
        <w:spacing w:after="38" w:line="480" w:lineRule="auto"/>
        <w:rPr>
          <w:szCs w:val="24"/>
        </w:rPr>
      </w:pPr>
    </w:p>
    <w:p w14:paraId="56620180" w14:textId="77777777" w:rsidR="00235750" w:rsidRPr="001F629F" w:rsidRDefault="00235750" w:rsidP="00235750">
      <w:pPr>
        <w:spacing w:after="38" w:line="480" w:lineRule="auto"/>
        <w:rPr>
          <w:szCs w:val="24"/>
        </w:rPr>
      </w:pPr>
      <w:r w:rsidRPr="001F629F">
        <w:rPr>
          <w:szCs w:val="24"/>
        </w:rPr>
        <w:t xml:space="preserve">Bacteria is the average number counted on triplicate plates at zero dilution. All values show mean ± standard deviation (n=3) </w:t>
      </w:r>
      <w:bookmarkStart w:id="0" w:name="_GoBack"/>
      <w:bookmarkEnd w:id="0"/>
    </w:p>
    <w:p w14:paraId="08E08111" w14:textId="77777777" w:rsidR="00235750" w:rsidRPr="001F629F" w:rsidRDefault="00235750" w:rsidP="00235750">
      <w:pPr>
        <w:tabs>
          <w:tab w:val="center" w:pos="720"/>
        </w:tabs>
        <w:spacing w:after="121" w:line="480" w:lineRule="auto"/>
        <w:rPr>
          <w:szCs w:val="24"/>
        </w:rPr>
      </w:pPr>
      <w:r w:rsidRPr="001F629F">
        <w:rPr>
          <w:szCs w:val="24"/>
        </w:rPr>
        <w:tab/>
        <w:t xml:space="preserve"> </w:t>
      </w:r>
    </w:p>
    <w:p w14:paraId="27C41C6E" w14:textId="77777777" w:rsidR="00235750" w:rsidRPr="001F629F" w:rsidRDefault="00235750" w:rsidP="00235750">
      <w:pPr>
        <w:spacing w:line="480" w:lineRule="auto"/>
        <w:rPr>
          <w:szCs w:val="24"/>
        </w:rPr>
      </w:pPr>
      <w:r w:rsidRPr="001F629F">
        <w:rPr>
          <w:szCs w:val="24"/>
        </w:rPr>
        <w:t xml:space="preserve">UV sterilisation caused the least change in wastewater properties measured and was able to fully sterilise the wastewater.  </w:t>
      </w:r>
    </w:p>
    <w:p w14:paraId="0D90667D" w14:textId="77777777" w:rsidR="00235750" w:rsidRDefault="00235750" w:rsidP="00763BFE">
      <w:pPr>
        <w:spacing w:line="480" w:lineRule="auto"/>
        <w:ind w:left="0" w:firstLine="0"/>
        <w:rPr>
          <w:i/>
          <w:szCs w:val="24"/>
        </w:rPr>
      </w:pPr>
    </w:p>
    <w:p w14:paraId="51C58D33" w14:textId="77777777" w:rsidR="00235750" w:rsidRDefault="00235750" w:rsidP="00763BFE">
      <w:pPr>
        <w:spacing w:line="480" w:lineRule="auto"/>
        <w:ind w:left="0" w:firstLine="0"/>
        <w:rPr>
          <w:i/>
          <w:szCs w:val="24"/>
        </w:rPr>
      </w:pPr>
    </w:p>
    <w:p w14:paraId="3D9A626C" w14:textId="4E6B1660" w:rsidR="00763BFE" w:rsidRPr="00763BFE" w:rsidRDefault="00E15E17" w:rsidP="00763BFE">
      <w:pPr>
        <w:spacing w:line="480" w:lineRule="auto"/>
        <w:ind w:left="0" w:firstLine="0"/>
        <w:rPr>
          <w:i/>
          <w:szCs w:val="24"/>
        </w:rPr>
      </w:pPr>
      <w:r>
        <w:rPr>
          <w:i/>
          <w:szCs w:val="24"/>
        </w:rPr>
        <w:lastRenderedPageBreak/>
        <w:t>Reactor s</w:t>
      </w:r>
      <w:r w:rsidR="00763BFE" w:rsidRPr="00763BFE">
        <w:rPr>
          <w:i/>
          <w:szCs w:val="24"/>
        </w:rPr>
        <w:t>et-up</w:t>
      </w:r>
    </w:p>
    <w:p w14:paraId="66BEA219" w14:textId="77777777" w:rsidR="00763BFE" w:rsidRPr="0063537A" w:rsidRDefault="00763BFE" w:rsidP="00763BFE">
      <w:pPr>
        <w:spacing w:line="480" w:lineRule="auto"/>
        <w:rPr>
          <w:szCs w:val="24"/>
        </w:rPr>
      </w:pPr>
      <w:r w:rsidRPr="0063537A">
        <w:rPr>
          <w:szCs w:val="24"/>
        </w:rPr>
        <w:t>Double chamber tubular design microbial fuel cell reactors (78 ml each chamber) were used, constructed in Perspex, with an internal diameter of 40 mm and length of 60 mm. The anode was a 2.5 cm</w:t>
      </w:r>
      <w:r w:rsidRPr="0063537A">
        <w:rPr>
          <w:szCs w:val="24"/>
          <w:vertAlign w:val="superscript"/>
        </w:rPr>
        <w:t>2</w:t>
      </w:r>
      <w:r w:rsidRPr="0063537A">
        <w:rPr>
          <w:szCs w:val="24"/>
        </w:rPr>
        <w:t xml:space="preserve"> of 0.2 cm thick carbon felt (Olmec Advanced Materials Ltd, UK), the cathode a 2.5 cm</w:t>
      </w:r>
      <w:r w:rsidRPr="0063537A">
        <w:rPr>
          <w:szCs w:val="24"/>
          <w:vertAlign w:val="superscript"/>
        </w:rPr>
        <w:t>2</w:t>
      </w:r>
      <w:r w:rsidRPr="0063537A">
        <w:rPr>
          <w:szCs w:val="24"/>
        </w:rPr>
        <w:t xml:space="preserve"> platinum coated titanium mesh with a surface area 8.13 cm</w:t>
      </w:r>
      <w:r w:rsidRPr="0063537A">
        <w:rPr>
          <w:szCs w:val="24"/>
          <w:vertAlign w:val="superscript"/>
        </w:rPr>
        <w:t>2</w:t>
      </w:r>
      <w:r w:rsidRPr="0063537A">
        <w:rPr>
          <w:szCs w:val="24"/>
        </w:rPr>
        <w:t xml:space="preserve"> (Tishop.com, UK). This gives a ratio of anode to cathode surface area of 1:1.2, well above the ratios estimated to make the reactor anode limited rather than cathode limited (Ishii </w:t>
      </w:r>
      <w:r w:rsidRPr="00C0248D">
        <w:rPr>
          <w:szCs w:val="24"/>
        </w:rPr>
        <w:t>et al.,</w:t>
      </w:r>
      <w:r w:rsidRPr="0063537A">
        <w:rPr>
          <w:szCs w:val="24"/>
        </w:rPr>
        <w:t xml:space="preserve"> 2008). The cation selective membrane between the reactor chambers was Nafion</w:t>
      </w:r>
      <w:r w:rsidRPr="0063537A">
        <w:rPr>
          <w:szCs w:val="24"/>
          <w:vertAlign w:val="superscript"/>
        </w:rPr>
        <w:t>®</w:t>
      </w:r>
      <w:r w:rsidRPr="0063537A">
        <w:rPr>
          <w:szCs w:val="24"/>
        </w:rPr>
        <w:t xml:space="preserve"> 117 (DuPont, France), with an area of 12.6cm</w:t>
      </w:r>
      <w:r w:rsidRPr="0063537A">
        <w:rPr>
          <w:szCs w:val="24"/>
          <w:vertAlign w:val="superscript"/>
        </w:rPr>
        <w:t>2</w:t>
      </w:r>
      <w:r w:rsidRPr="0063537A">
        <w:rPr>
          <w:szCs w:val="24"/>
        </w:rPr>
        <w:t xml:space="preserve">. The electrodes were positioned 1cm apart. The components of the reactor were cleaned and then sterilised using UV light in a Labcaire SC-R microbiological cabinet (Labcaire, UK). </w:t>
      </w:r>
    </w:p>
    <w:p w14:paraId="3A5D8342" w14:textId="77777777" w:rsidR="00763BFE" w:rsidRPr="0063537A" w:rsidRDefault="00763BFE" w:rsidP="00763BFE">
      <w:pPr>
        <w:spacing w:after="115" w:line="480" w:lineRule="auto"/>
        <w:rPr>
          <w:szCs w:val="24"/>
        </w:rPr>
      </w:pPr>
      <w:r w:rsidRPr="0063537A">
        <w:rPr>
          <w:szCs w:val="24"/>
        </w:rPr>
        <w:t xml:space="preserve"> </w:t>
      </w:r>
    </w:p>
    <w:p w14:paraId="30813D37" w14:textId="2ED8DA09" w:rsidR="00763BFE" w:rsidRPr="0063537A" w:rsidRDefault="00763BFE" w:rsidP="00763BFE">
      <w:pPr>
        <w:spacing w:line="480" w:lineRule="auto"/>
        <w:rPr>
          <w:szCs w:val="24"/>
        </w:rPr>
      </w:pPr>
      <w:r w:rsidRPr="0063537A">
        <w:rPr>
          <w:szCs w:val="24"/>
        </w:rPr>
        <w:t>The cathode chamber was filled with 50 mM pH 7 phosphate buffer saturated with air for 20 minutes before being added into the reactors. In the anode chamber three different media were used: acetate solution with added nutrients (</w:t>
      </w:r>
      <w:r w:rsidRPr="00E13D34">
        <w:rPr>
          <w:color w:val="00B0F0"/>
          <w:szCs w:val="24"/>
        </w:rPr>
        <w:t>Call and Logan, 2008</w:t>
      </w:r>
      <w:r w:rsidRPr="0063537A">
        <w:rPr>
          <w:szCs w:val="24"/>
        </w:rPr>
        <w:t>); starch solution with added nutrients (</w:t>
      </w:r>
      <w:r w:rsidRPr="00E13D34">
        <w:rPr>
          <w:color w:val="00B0F0"/>
          <w:szCs w:val="24"/>
        </w:rPr>
        <w:t>Call and Logan, 2008</w:t>
      </w:r>
      <w:r w:rsidRPr="0063537A">
        <w:rPr>
          <w:szCs w:val="24"/>
        </w:rPr>
        <w:t>); primary settled wastewater (Cramlington WWTP, Northumbrian Water Ltd). The quantities of starch and acetate in the nutrient solutions were balanced to give similar total chemical oxygen demand (TCOD) as the wastewater, and were autoclaved (121°C, 15 min) before use. The wastewater was sterilised by circulating the wastewater through a 3.9 lpm ultra violet system UV3.9WL (East Midlands Water, UK). The bacterial kill was determined using Agar enumeration method 9215C with serial dilutions into ¼ strength Ringers sterile diluent (</w:t>
      </w:r>
      <w:r w:rsidRPr="00E13D34">
        <w:rPr>
          <w:color w:val="00B0F0"/>
          <w:szCs w:val="24"/>
        </w:rPr>
        <w:t>APHA, 1998</w:t>
      </w:r>
      <w:r w:rsidRPr="0063537A">
        <w:rPr>
          <w:szCs w:val="24"/>
        </w:rPr>
        <w:t xml:space="preserve">). The contact time under UV was altered to give effective sterilisation defined as colony free plates in triplicate at zero dilution. This method gave the most successful sterilisation with the least change in chemical composition of </w:t>
      </w:r>
      <w:r w:rsidRPr="0063537A">
        <w:rPr>
          <w:szCs w:val="24"/>
        </w:rPr>
        <w:lastRenderedPageBreak/>
        <w:t>the wastewater (total chemical oxygen demand (TCOD), soluble chemical oxygen demand (SCOD) and total solids (TS)) compared to autoclav</w:t>
      </w:r>
      <w:r w:rsidR="004D1E47">
        <w:rPr>
          <w:szCs w:val="24"/>
        </w:rPr>
        <w:t xml:space="preserve">ing and filtering </w:t>
      </w:r>
      <w:r w:rsidRPr="0063537A">
        <w:rPr>
          <w:szCs w:val="24"/>
        </w:rPr>
        <w:t>(</w:t>
      </w:r>
      <w:r w:rsidRPr="00E13D34">
        <w:rPr>
          <w:color w:val="00B0F0"/>
          <w:szCs w:val="24"/>
        </w:rPr>
        <w:t>Miyahara et al.</w:t>
      </w:r>
      <w:r w:rsidRPr="00E13D34">
        <w:rPr>
          <w:i/>
          <w:color w:val="00B0F0"/>
          <w:szCs w:val="24"/>
        </w:rPr>
        <w:t>,</w:t>
      </w:r>
      <w:r w:rsidR="004D1E47" w:rsidRPr="00E13D34">
        <w:rPr>
          <w:color w:val="00B0F0"/>
          <w:szCs w:val="24"/>
        </w:rPr>
        <w:t xml:space="preserve"> 2013</w:t>
      </w:r>
      <w:r w:rsidR="004D1E47">
        <w:rPr>
          <w:szCs w:val="24"/>
        </w:rPr>
        <w:t>)</w:t>
      </w:r>
      <w:r w:rsidRPr="0063537A">
        <w:rPr>
          <w:szCs w:val="24"/>
        </w:rPr>
        <w:t>.</w:t>
      </w:r>
    </w:p>
    <w:p w14:paraId="69163055" w14:textId="77777777" w:rsidR="00763BFE" w:rsidRPr="0063537A" w:rsidRDefault="00763BFE" w:rsidP="00763BFE">
      <w:pPr>
        <w:spacing w:after="0" w:line="480" w:lineRule="auto"/>
        <w:rPr>
          <w:szCs w:val="24"/>
        </w:rPr>
      </w:pPr>
      <w:r w:rsidRPr="0063537A">
        <w:rPr>
          <w:szCs w:val="24"/>
        </w:rPr>
        <w:t xml:space="preserve"> </w:t>
      </w:r>
    </w:p>
    <w:p w14:paraId="1349266A" w14:textId="77777777" w:rsidR="00763BFE" w:rsidRPr="0063537A" w:rsidRDefault="00763BFE" w:rsidP="00763BFE">
      <w:pPr>
        <w:spacing w:line="480" w:lineRule="auto"/>
        <w:rPr>
          <w:szCs w:val="24"/>
        </w:rPr>
      </w:pPr>
      <w:r w:rsidRPr="0063537A">
        <w:rPr>
          <w:szCs w:val="24"/>
        </w:rPr>
        <w:t xml:space="preserve">The three media were sparged under sterile conditions for 10 minutes using ultra high purity (UHP) nitrogen (99.998%) (BOC Industrial Gases Ltd., UK), until the dissolved oxygen (DO) as measured with a DO probe, Jenway 970 (Bibby Scientific Ltd, UK), was below the detection limit of 0.01 mg/L. </w:t>
      </w:r>
      <w:r w:rsidRPr="0063537A">
        <w:rPr>
          <w:b/>
          <w:szCs w:val="24"/>
        </w:rPr>
        <w:t xml:space="preserve"> </w:t>
      </w:r>
    </w:p>
    <w:p w14:paraId="78537BCF" w14:textId="77777777" w:rsidR="00763BFE" w:rsidRPr="0063537A" w:rsidRDefault="00763BFE" w:rsidP="00763BFE">
      <w:pPr>
        <w:spacing w:after="115" w:line="480" w:lineRule="auto"/>
        <w:rPr>
          <w:szCs w:val="24"/>
        </w:rPr>
      </w:pPr>
      <w:r w:rsidRPr="0063537A">
        <w:rPr>
          <w:szCs w:val="24"/>
        </w:rPr>
        <w:t xml:space="preserve"> </w:t>
      </w:r>
    </w:p>
    <w:p w14:paraId="35C1A318" w14:textId="77777777" w:rsidR="00763BFE" w:rsidRPr="0063537A" w:rsidRDefault="00763BFE" w:rsidP="00763BFE">
      <w:pPr>
        <w:spacing w:line="480" w:lineRule="auto"/>
        <w:rPr>
          <w:szCs w:val="24"/>
        </w:rPr>
      </w:pPr>
      <w:r w:rsidRPr="0063537A">
        <w:rPr>
          <w:szCs w:val="24"/>
        </w:rPr>
        <w:t>Unsterilised, screened raw influent wastewater from Cramlington wastewater treatment plant (Northumbria, UK) was used the inoculum for all reactors. This wastewater is a mixture of industrial and domestic origin. Samples were stored anaerobically at 4</w:t>
      </w:r>
      <w:r w:rsidRPr="0063537A">
        <w:rPr>
          <w:szCs w:val="24"/>
          <w:vertAlign w:val="superscript"/>
        </w:rPr>
        <w:t>o</w:t>
      </w:r>
      <w:r w:rsidRPr="0063537A">
        <w:rPr>
          <w:szCs w:val="24"/>
        </w:rPr>
        <w:t xml:space="preserve">C and used within 24 hours of collection. The inoculum was also sparged with UHP nitrogen before use. </w:t>
      </w:r>
    </w:p>
    <w:p w14:paraId="609AA2F6" w14:textId="77777777" w:rsidR="00763BFE" w:rsidRPr="0063537A" w:rsidRDefault="00763BFE" w:rsidP="00763BFE">
      <w:pPr>
        <w:spacing w:after="112" w:line="480" w:lineRule="auto"/>
        <w:rPr>
          <w:szCs w:val="24"/>
        </w:rPr>
      </w:pPr>
      <w:r w:rsidRPr="0063537A">
        <w:rPr>
          <w:szCs w:val="24"/>
        </w:rPr>
        <w:t xml:space="preserve"> </w:t>
      </w:r>
    </w:p>
    <w:p w14:paraId="276AB001" w14:textId="77777777" w:rsidR="00763BFE" w:rsidRPr="0063537A" w:rsidRDefault="00763BFE" w:rsidP="00763BFE">
      <w:pPr>
        <w:spacing w:line="480" w:lineRule="auto"/>
        <w:rPr>
          <w:szCs w:val="24"/>
        </w:rPr>
      </w:pPr>
      <w:r w:rsidRPr="0063537A">
        <w:rPr>
          <w:szCs w:val="24"/>
        </w:rPr>
        <w:t xml:space="preserve">Duplicate reactors were inoculated with differing volumes of wastewater (1 ml, 10 ml, 25 ml and 50 ml). The anode compartment was then filled with the sterile substrates. An inverted 50 ml syringe filled with UHP nitrogen was placed into the refilling port on top of the anode chamber to provide an anaerobic headspace. The cathode chamber once filled was left open allowing the diffusion of oxygen into the liquid. Both electrodes were attached to stainless steel wire, and placed in a circuit with a 470 Ω resistor. It is acknowledged that the external resistor has an impact on the anode potential, which in turn affects the activity of the biomass (Aelterman </w:t>
      </w:r>
      <w:r w:rsidRPr="00C0248D">
        <w:rPr>
          <w:szCs w:val="24"/>
        </w:rPr>
        <w:t>et al.</w:t>
      </w:r>
      <w:r w:rsidRPr="0063537A">
        <w:rPr>
          <w:i/>
          <w:szCs w:val="24"/>
        </w:rPr>
        <w:t>,</w:t>
      </w:r>
      <w:r w:rsidRPr="0063537A">
        <w:rPr>
          <w:szCs w:val="24"/>
        </w:rPr>
        <w:t xml:space="preserve"> 2008) and therefore the current produced. However even at wide ranging anode potentials 0 to -400 mV vs Ag/AgCl (Aelterman </w:t>
      </w:r>
      <w:r w:rsidRPr="00C0248D">
        <w:rPr>
          <w:szCs w:val="24"/>
        </w:rPr>
        <w:t>et al.,</w:t>
      </w:r>
      <w:r w:rsidRPr="0063537A">
        <w:rPr>
          <w:szCs w:val="24"/>
        </w:rPr>
        <w:t xml:space="preserve"> 2008), and external resistance 10 to 1000 Ω (</w:t>
      </w:r>
      <w:r w:rsidRPr="00E13D34">
        <w:rPr>
          <w:color w:val="00B0F0"/>
          <w:szCs w:val="24"/>
        </w:rPr>
        <w:t>Zhang et al., 2011</w:t>
      </w:r>
      <w:r w:rsidRPr="0063537A">
        <w:rPr>
          <w:szCs w:val="24"/>
        </w:rPr>
        <w:t xml:space="preserve">) activity is initiated within the MFC’s, the different resistance or anode potential then results in varied performance. The 470 Ω resistor was chosen to be in the mid-range of resistance typically used in MFC systems, and to be representative of what </w:t>
      </w:r>
      <w:r w:rsidRPr="0063537A">
        <w:rPr>
          <w:szCs w:val="24"/>
        </w:rPr>
        <w:lastRenderedPageBreak/>
        <w:t xml:space="preserve">may be used in the application of this technology. A data logging multimeter (Pico ADC-16, Pico Technologies, UK) was attached to record voltage output every 30 minutes. Reactors were allowed 800 hours at room temperature (20-25 °C) to show acclimatisation before the experiment was ended. </w:t>
      </w:r>
      <w:r w:rsidRPr="0063537A">
        <w:rPr>
          <w:rFonts w:cs="Helvetica"/>
          <w:lang w:val="en"/>
        </w:rPr>
        <w:t>The use of triplicate reactors may have been better than using duplicates, but some compromise had to be made due to the limitations of equipment and practicality.  In order to attain that the reactors were started at the same time with the same inoculum, and to make sure that the spread of inoculum amount was sufficient to cause the desired MPN dilution out effect (see below), this was a compromise that had to be made</w:t>
      </w:r>
      <w:r w:rsidRPr="0063537A">
        <w:rPr>
          <w:szCs w:val="24"/>
        </w:rPr>
        <w:t>. With the acetate fed experiment an additional, second set of reactors was run separately with lower inocula of  0.01 ml, 0.1 ml, and 1ml, and with 25 ml as a positive control. Control ‘reactors’ (using no inoculum) were run during each test.</w:t>
      </w:r>
    </w:p>
    <w:p w14:paraId="42EEDAC6" w14:textId="77777777" w:rsidR="00763BFE" w:rsidRPr="0063537A" w:rsidRDefault="00763BFE" w:rsidP="00763BFE">
      <w:pPr>
        <w:spacing w:after="115" w:line="480" w:lineRule="auto"/>
        <w:rPr>
          <w:szCs w:val="24"/>
        </w:rPr>
      </w:pPr>
    </w:p>
    <w:p w14:paraId="604BB18C" w14:textId="77777777" w:rsidR="00763BFE" w:rsidRPr="0063537A" w:rsidRDefault="00763BFE" w:rsidP="00763BFE">
      <w:pPr>
        <w:spacing w:line="480" w:lineRule="auto"/>
        <w:rPr>
          <w:szCs w:val="24"/>
        </w:rPr>
      </w:pPr>
      <w:r w:rsidRPr="0063537A">
        <w:rPr>
          <w:szCs w:val="24"/>
        </w:rPr>
        <w:t>The total chemical oxygen demand (TCOD), volatile fatty acids and anions of the media, inocula, and the reactor effluent once the current had dropped to zero, were measured. TCOD was measured in duplicate according to standard methods (</w:t>
      </w:r>
      <w:r w:rsidRPr="00E13D34">
        <w:rPr>
          <w:color w:val="00B0F0"/>
          <w:szCs w:val="24"/>
        </w:rPr>
        <w:t>APHA, 1998</w:t>
      </w:r>
      <w:r w:rsidRPr="0063537A">
        <w:rPr>
          <w:szCs w:val="24"/>
        </w:rPr>
        <w:t>) and (Spectroquant ® test kits, Merck &amp; Co. Inc., USA) colorimetric reagent kit. Volatile fatty acids of the media and inocula were measured in duplicate using an ion chromatograph (IC) Dionex ICS-1000, with an Ionpack ICE ASI column, and heptafluorobutyric acid as the eluent and tetrabutylammonium hydroxide as the regenerant. Anions were measured using ion chromatograph (IC) Dionex ICS-1000, with an Ionpack AS 14A column, with carbonate as the eluent. Coloumbic efficiency was expressed as the percentage of coloumbs recovered from the total coloumbs of substrate used (</w:t>
      </w:r>
      <w:r w:rsidRPr="00E13D34">
        <w:rPr>
          <w:color w:val="00B0F0"/>
          <w:szCs w:val="24"/>
        </w:rPr>
        <w:t>Logan, 2008</w:t>
      </w:r>
      <w:r w:rsidRPr="0063537A">
        <w:rPr>
          <w:szCs w:val="24"/>
        </w:rPr>
        <w:t>).</w:t>
      </w:r>
    </w:p>
    <w:p w14:paraId="52E73CF9" w14:textId="77777777" w:rsidR="00763BFE" w:rsidRPr="0063537A" w:rsidRDefault="00763BFE" w:rsidP="00763BFE">
      <w:pPr>
        <w:spacing w:line="480" w:lineRule="auto"/>
        <w:rPr>
          <w:szCs w:val="24"/>
        </w:rPr>
      </w:pPr>
    </w:p>
    <w:p w14:paraId="0C1AF2A1" w14:textId="1252E938" w:rsidR="00763BFE" w:rsidRPr="00763BFE" w:rsidRDefault="00763BFE" w:rsidP="00763BFE">
      <w:pPr>
        <w:spacing w:line="480" w:lineRule="auto"/>
        <w:rPr>
          <w:i/>
          <w:szCs w:val="24"/>
        </w:rPr>
      </w:pPr>
      <w:r w:rsidRPr="00763BFE">
        <w:rPr>
          <w:i/>
          <w:szCs w:val="24"/>
        </w:rPr>
        <w:t xml:space="preserve">Estimates of </w:t>
      </w:r>
      <w:r w:rsidR="00E15E17">
        <w:rPr>
          <w:i/>
          <w:szCs w:val="24"/>
        </w:rPr>
        <w:t>b</w:t>
      </w:r>
      <w:r w:rsidRPr="00763BFE">
        <w:rPr>
          <w:i/>
          <w:szCs w:val="24"/>
        </w:rPr>
        <w:t xml:space="preserve">acterial </w:t>
      </w:r>
      <w:r w:rsidR="00E15E17">
        <w:rPr>
          <w:i/>
          <w:szCs w:val="24"/>
        </w:rPr>
        <w:t>a</w:t>
      </w:r>
      <w:r w:rsidRPr="00763BFE">
        <w:rPr>
          <w:i/>
          <w:szCs w:val="24"/>
        </w:rPr>
        <w:t>bundance</w:t>
      </w:r>
    </w:p>
    <w:p w14:paraId="00DAB99F" w14:textId="77777777" w:rsidR="00763BFE" w:rsidRPr="0063537A" w:rsidRDefault="00763BFE" w:rsidP="00763BFE">
      <w:pPr>
        <w:spacing w:line="480" w:lineRule="auto"/>
        <w:rPr>
          <w:szCs w:val="24"/>
        </w:rPr>
      </w:pPr>
      <w:r w:rsidRPr="0063537A">
        <w:rPr>
          <w:szCs w:val="24"/>
        </w:rPr>
        <w:lastRenderedPageBreak/>
        <w:t>The total number of aerobic culturable bacteria present in the wastewater samples used for inoculation was approximated using spread plate method 9215C (</w:t>
      </w:r>
      <w:r w:rsidRPr="00E13D34">
        <w:rPr>
          <w:color w:val="00B0F0"/>
          <w:szCs w:val="24"/>
        </w:rPr>
        <w:t>APHA, 1998</w:t>
      </w:r>
      <w:r w:rsidRPr="0063537A">
        <w:rPr>
          <w:szCs w:val="24"/>
        </w:rPr>
        <w:t>), with peptone based nutrient agar (Lab M Ltd, UK). Serial dilutions were undertaken into sterile ¼ strength ringers solution, with each dilution plated in triplicate. Plates were incubated at 37 °C for 48 hours. Anaerobic bacteria were enumerated using an autoclaved (121 °C for 15 min) basal salts medium (</w:t>
      </w:r>
      <w:r w:rsidRPr="00E13D34">
        <w:rPr>
          <w:color w:val="00B0F0"/>
          <w:szCs w:val="24"/>
        </w:rPr>
        <w:t>Shelton and Tiedje, 1984</w:t>
      </w:r>
      <w:r w:rsidRPr="0063537A">
        <w:rPr>
          <w:szCs w:val="24"/>
        </w:rPr>
        <w:t>) with 1 g/L of both yeast extract and glucose as a carbon source,  sparged with sterile UHP nitrogen for 20 minutes. A volume of 9 ml was then added to sterilised Hungate tubes, 1 ml of wastewater was then added to five tubes, and dilutions made down to 10</w:t>
      </w:r>
      <w:r w:rsidRPr="0063537A">
        <w:rPr>
          <w:szCs w:val="24"/>
          <w:vertAlign w:val="superscript"/>
        </w:rPr>
        <w:t xml:space="preserve">-12 </w:t>
      </w:r>
      <w:r w:rsidRPr="0063537A">
        <w:rPr>
          <w:szCs w:val="24"/>
        </w:rPr>
        <w:t>with five replicates at each dilution. The headspace of the tubes was sparged with nitrogen, and the tubes incubated at 37 °C for two weeks. The number of anaerobic bacteria was determined using the MPN methodology (</w:t>
      </w:r>
      <w:r w:rsidRPr="00E13D34">
        <w:rPr>
          <w:color w:val="00B0F0"/>
          <w:szCs w:val="24"/>
        </w:rPr>
        <w:t>APHA, 1998</w:t>
      </w:r>
      <w:r w:rsidRPr="0063537A">
        <w:rPr>
          <w:szCs w:val="24"/>
        </w:rPr>
        <w:t xml:space="preserve">), and added to the number of aerobic bacteria to give an estimated total number of bacterial cells. </w:t>
      </w:r>
    </w:p>
    <w:p w14:paraId="620FC5E7" w14:textId="77777777" w:rsidR="00763BFE" w:rsidRPr="0063537A" w:rsidRDefault="00763BFE" w:rsidP="00763BFE">
      <w:pPr>
        <w:spacing w:line="480" w:lineRule="auto"/>
        <w:rPr>
          <w:szCs w:val="24"/>
        </w:rPr>
      </w:pPr>
    </w:p>
    <w:p w14:paraId="12281127" w14:textId="20CBB888" w:rsidR="00763BFE" w:rsidRDefault="00763BFE" w:rsidP="00763BFE">
      <w:pPr>
        <w:spacing w:line="480" w:lineRule="auto"/>
      </w:pPr>
      <w:r w:rsidRPr="0063537A">
        <w:rPr>
          <w:szCs w:val="24"/>
        </w:rPr>
        <w:t xml:space="preserve"> A further estimate of the total number of cells was made using epifluoresence microscopy using SYBR gold nucleic acid stain (Invitrogen Ltd., UK). A 100x dilution was made with sterile phosphate buffer, and the cultures were stained for 30 minutes with light excluded. Aliquots of 1 ml were filtered onto 0.2-µm-pore-size black polycarbonate filters (</w:t>
      </w:r>
      <w:r w:rsidRPr="0063537A">
        <w:rPr>
          <w:color w:val="444444"/>
          <w:szCs w:val="18"/>
          <w:lang w:val="en"/>
        </w:rPr>
        <w:t>Merck</w:t>
      </w:r>
      <w:r w:rsidRPr="0063537A">
        <w:rPr>
          <w:szCs w:val="24"/>
        </w:rPr>
        <w:t xml:space="preserve"> Millipore, USA) which were placed onto slides, and mounted with Citifluor antifadent (Citifluor Ltd., UK). A coverslip was placed over the resultant preparation, and nail varnish was used as a sealant. Cell counts on 10 random fields of view were performed using a </w:t>
      </w:r>
      <w:r w:rsidRPr="0063537A">
        <w:t>Nikon Eclipse Ci-L Fluoresce</w:t>
      </w:r>
      <w:r w:rsidR="0019579D">
        <w:t>nce Microscope (Nikon Ltd, UK).</w:t>
      </w:r>
    </w:p>
    <w:p w14:paraId="3A13B320" w14:textId="77777777" w:rsidR="0019579D" w:rsidRDefault="0019579D" w:rsidP="00763BFE">
      <w:pPr>
        <w:spacing w:line="480" w:lineRule="auto"/>
      </w:pPr>
    </w:p>
    <w:p w14:paraId="643CACA8" w14:textId="080C9972" w:rsidR="0019579D" w:rsidRPr="0019579D" w:rsidRDefault="0019579D" w:rsidP="00763BFE">
      <w:pPr>
        <w:spacing w:line="480" w:lineRule="auto"/>
        <w:rPr>
          <w:i/>
          <w:szCs w:val="24"/>
        </w:rPr>
      </w:pPr>
      <w:r w:rsidRPr="0019579D">
        <w:rPr>
          <w:i/>
          <w:szCs w:val="24"/>
        </w:rPr>
        <w:t>Most Probable Number (MPN) Calculations</w:t>
      </w:r>
    </w:p>
    <w:p w14:paraId="2626C921" w14:textId="77777777" w:rsidR="00763BFE" w:rsidRDefault="00763BFE" w:rsidP="00763BFE">
      <w:pPr>
        <w:spacing w:line="480" w:lineRule="auto"/>
        <w:rPr>
          <w:szCs w:val="24"/>
        </w:rPr>
      </w:pPr>
    </w:p>
    <w:p w14:paraId="5830F14A" w14:textId="77777777" w:rsidR="0019579D" w:rsidRPr="0063537A" w:rsidRDefault="0019579D" w:rsidP="0019579D">
      <w:pPr>
        <w:spacing w:after="76" w:line="480" w:lineRule="auto"/>
        <w:rPr>
          <w:szCs w:val="24"/>
        </w:rPr>
      </w:pPr>
      <w:r w:rsidRPr="0063537A">
        <w:rPr>
          <w:szCs w:val="24"/>
        </w:rPr>
        <w:lastRenderedPageBreak/>
        <w:t>Pre-calculated MPN tables (</w:t>
      </w:r>
      <w:r w:rsidRPr="00EA5796">
        <w:rPr>
          <w:color w:val="00B0F0"/>
          <w:szCs w:val="24"/>
        </w:rPr>
        <w:t>APHA, 1998</w:t>
      </w:r>
      <w:r w:rsidRPr="0063537A">
        <w:rPr>
          <w:szCs w:val="24"/>
        </w:rPr>
        <w:t>) are used to give a value of the most probable number of bacteria within a sample. These tables are based on standard sets of dilutions and typically three biological replicates. However, when the experimental data is not available to use these standard tables, the MPN can be calculated using the original formula used to produce these tables, and 95% confidence limits can be calculated using Haldane’s formula (</w:t>
      </w:r>
      <w:r w:rsidRPr="00EA5796">
        <w:rPr>
          <w:color w:val="00B0F0"/>
          <w:szCs w:val="24"/>
        </w:rPr>
        <w:t>Haldane 1939</w:t>
      </w:r>
      <w:r w:rsidRPr="0063537A">
        <w:rPr>
          <w:szCs w:val="24"/>
        </w:rPr>
        <w:t>). Thus by calculating the MPN and confidence limits from first principles, statistically valid results can be achieved where the data set is imperfect due to a non-standard number of replicas or dilutions.</w:t>
      </w:r>
    </w:p>
    <w:p w14:paraId="68A584EA" w14:textId="77777777" w:rsidR="0019579D" w:rsidRPr="0063537A" w:rsidRDefault="0019579D" w:rsidP="0019579D">
      <w:pPr>
        <w:spacing w:after="76" w:line="480" w:lineRule="auto"/>
        <w:rPr>
          <w:szCs w:val="24"/>
        </w:rPr>
      </w:pPr>
    </w:p>
    <w:p w14:paraId="30E8E777" w14:textId="77777777" w:rsidR="0019579D" w:rsidRPr="0063537A" w:rsidRDefault="0019579D" w:rsidP="0019579D">
      <w:pPr>
        <w:spacing w:after="76" w:line="480" w:lineRule="auto"/>
        <w:rPr>
          <w:szCs w:val="24"/>
        </w:rPr>
      </w:pPr>
      <w:r w:rsidRPr="0063537A">
        <w:rPr>
          <w:szCs w:val="24"/>
        </w:rPr>
        <w:t>The MNP is calculated through a series of iterations based on a Poisson and binomial distributions (</w:t>
      </w:r>
      <w:r w:rsidRPr="00EA5796">
        <w:rPr>
          <w:color w:val="00B0F0"/>
          <w:szCs w:val="24"/>
        </w:rPr>
        <w:t>Blodgett, 2005</w:t>
      </w:r>
      <w:r w:rsidRPr="0063537A">
        <w:rPr>
          <w:szCs w:val="24"/>
        </w:rPr>
        <w:t xml:space="preserve">) using the following formula, solving λ for the concentration: </w:t>
      </w:r>
    </w:p>
    <w:p w14:paraId="72048DA1" w14:textId="77777777" w:rsidR="0019579D" w:rsidRPr="0063537A" w:rsidRDefault="0099767E" w:rsidP="0019579D">
      <w:pPr>
        <w:keepNext/>
        <w:spacing w:before="120" w:after="120" w:line="360" w:lineRule="auto"/>
        <w:jc w:val="right"/>
        <w:rPr>
          <w:rFonts w:cs="Arial"/>
          <w:b/>
          <w:bCs/>
          <w:sz w:val="20"/>
          <w:szCs w:val="20"/>
          <w:lang w:eastAsia="en-US"/>
        </w:rPr>
      </w:pPr>
      <m:oMath>
        <m:nary>
          <m:naryPr>
            <m:chr m:val="∑"/>
            <m:limLoc m:val="undOvr"/>
            <m:ctrlPr>
              <w:rPr>
                <w:rFonts w:ascii="Cambria Math" w:hAnsi="Cambria Math" w:cs="Arial"/>
                <w:b/>
                <w:bCs/>
                <w:sz w:val="20"/>
                <w:szCs w:val="20"/>
                <w:lang w:eastAsia="en-US"/>
              </w:rPr>
            </m:ctrlPr>
          </m:naryPr>
          <m:sub>
            <m:r>
              <m:rPr>
                <m:sty m:val="bi"/>
              </m:rPr>
              <w:rPr>
                <w:rFonts w:ascii="Cambria Math" w:hAnsi="Cambria Math" w:cs="Arial"/>
                <w:sz w:val="20"/>
                <w:szCs w:val="20"/>
                <w:lang w:eastAsia="en-US"/>
              </w:rPr>
              <m:t>j</m:t>
            </m:r>
            <m:r>
              <m:rPr>
                <m:sty m:val="b"/>
              </m:rPr>
              <w:rPr>
                <w:rFonts w:ascii="Cambria Math" w:hAnsi="Cambria Math" w:cs="Arial"/>
                <w:sz w:val="20"/>
                <w:szCs w:val="20"/>
                <w:lang w:eastAsia="en-US"/>
              </w:rPr>
              <m:t>-1</m:t>
            </m:r>
          </m:sub>
          <m:sup>
            <m:r>
              <m:rPr>
                <m:sty m:val="bi"/>
              </m:rPr>
              <w:rPr>
                <w:rFonts w:ascii="Cambria Math" w:hAnsi="Cambria Math" w:cs="Arial"/>
                <w:sz w:val="20"/>
                <w:szCs w:val="20"/>
                <w:lang w:eastAsia="en-US"/>
              </w:rPr>
              <m:t>k</m:t>
            </m:r>
          </m:sup>
          <m:e>
            <m:f>
              <m:fPr>
                <m:ctrlPr>
                  <w:rPr>
                    <w:rFonts w:ascii="Cambria Math" w:hAnsi="Cambria Math" w:cs="Arial"/>
                    <w:b/>
                    <w:bCs/>
                    <w:sz w:val="20"/>
                    <w:szCs w:val="20"/>
                    <w:lang w:eastAsia="en-US"/>
                  </w:rPr>
                </m:ctrlPr>
              </m:fPr>
              <m:num>
                <m:sSub>
                  <m:sSubPr>
                    <m:ctrlPr>
                      <w:rPr>
                        <w:rFonts w:ascii="Cambria Math" w:hAnsi="Cambria Math" w:cs="Arial"/>
                        <w:b/>
                        <w:bCs/>
                        <w:sz w:val="20"/>
                        <w:szCs w:val="20"/>
                        <w:lang w:eastAsia="en-US"/>
                      </w:rPr>
                    </m:ctrlPr>
                  </m:sSubPr>
                  <m:e>
                    <m:r>
                      <m:rPr>
                        <m:sty m:val="bi"/>
                      </m:rPr>
                      <w:rPr>
                        <w:rFonts w:ascii="Cambria Math" w:hAnsi="Cambria Math" w:cs="Arial"/>
                        <w:sz w:val="20"/>
                        <w:szCs w:val="20"/>
                        <w:lang w:eastAsia="en-US"/>
                      </w:rPr>
                      <m:t>g</m:t>
                    </m:r>
                  </m:e>
                  <m:sub>
                    <m:r>
                      <m:rPr>
                        <m:sty m:val="bi"/>
                      </m:rPr>
                      <w:rPr>
                        <w:rFonts w:ascii="Cambria Math" w:hAnsi="Cambria Math" w:cs="Arial"/>
                        <w:sz w:val="20"/>
                        <w:szCs w:val="20"/>
                        <w:lang w:eastAsia="en-US"/>
                      </w:rPr>
                      <m:t>j</m:t>
                    </m:r>
                  </m:sub>
                </m:sSub>
                <m:sSub>
                  <m:sSubPr>
                    <m:ctrlPr>
                      <w:rPr>
                        <w:rFonts w:ascii="Cambria Math" w:hAnsi="Cambria Math" w:cs="Arial"/>
                        <w:b/>
                        <w:bCs/>
                        <w:sz w:val="20"/>
                        <w:szCs w:val="20"/>
                        <w:lang w:eastAsia="en-US"/>
                      </w:rPr>
                    </m:ctrlPr>
                  </m:sSubPr>
                  <m:e>
                    <m:r>
                      <m:rPr>
                        <m:sty m:val="bi"/>
                      </m:rPr>
                      <w:rPr>
                        <w:rFonts w:ascii="Cambria Math" w:hAnsi="Cambria Math" w:cs="Arial"/>
                        <w:sz w:val="20"/>
                        <w:szCs w:val="20"/>
                        <w:lang w:eastAsia="en-US"/>
                      </w:rPr>
                      <m:t>m</m:t>
                    </m:r>
                  </m:e>
                  <m:sub>
                    <m:r>
                      <m:rPr>
                        <m:sty m:val="bi"/>
                      </m:rPr>
                      <w:rPr>
                        <w:rFonts w:ascii="Cambria Math" w:hAnsi="Cambria Math" w:cs="Arial"/>
                        <w:sz w:val="20"/>
                        <w:szCs w:val="20"/>
                        <w:lang w:eastAsia="en-US"/>
                      </w:rPr>
                      <m:t>j</m:t>
                    </m:r>
                  </m:sub>
                </m:sSub>
              </m:num>
              <m:den>
                <m:r>
                  <m:rPr>
                    <m:sty m:val="b"/>
                  </m:rPr>
                  <w:rPr>
                    <w:rFonts w:ascii="Cambria Math" w:hAnsi="Cambria Math" w:cs="Arial"/>
                    <w:sz w:val="20"/>
                    <w:szCs w:val="20"/>
                    <w:lang w:eastAsia="en-US"/>
                  </w:rPr>
                  <m:t>1 –</m:t>
                </m:r>
                <m:func>
                  <m:funcPr>
                    <m:ctrlPr>
                      <w:rPr>
                        <w:rFonts w:ascii="Cambria Math" w:hAnsi="Cambria Math" w:cs="Arial"/>
                        <w:b/>
                        <w:bCs/>
                        <w:sz w:val="20"/>
                        <w:szCs w:val="20"/>
                        <w:lang w:eastAsia="en-US"/>
                      </w:rPr>
                    </m:ctrlPr>
                  </m:funcPr>
                  <m:fName>
                    <m:r>
                      <m:rPr>
                        <m:sty m:val="b"/>
                      </m:rPr>
                      <w:rPr>
                        <w:rFonts w:ascii="Cambria Math" w:hAnsi="Cambria Math" w:cs="Arial"/>
                        <w:sz w:val="20"/>
                        <w:szCs w:val="20"/>
                        <w:lang w:eastAsia="en-US"/>
                      </w:rPr>
                      <m:t>exp</m:t>
                    </m:r>
                  </m:fName>
                  <m:e>
                    <m:r>
                      <m:rPr>
                        <m:sty m:val="b"/>
                      </m:rPr>
                      <w:rPr>
                        <w:rFonts w:ascii="Cambria Math" w:hAnsi="Cambria Math" w:cs="Arial"/>
                        <w:sz w:val="20"/>
                        <w:szCs w:val="20"/>
                        <w:lang w:eastAsia="en-US"/>
                      </w:rPr>
                      <m:t xml:space="preserve"> ( - </m:t>
                    </m:r>
                    <m:r>
                      <m:rPr>
                        <m:sty m:val="bi"/>
                      </m:rPr>
                      <w:rPr>
                        <w:rFonts w:ascii="Cambria Math" w:hAnsi="Cambria Math" w:cs="Arial"/>
                        <w:sz w:val="20"/>
                        <w:szCs w:val="20"/>
                        <w:lang w:eastAsia="en-US"/>
                      </w:rPr>
                      <m:t>λ</m:t>
                    </m:r>
                    <m:sSub>
                      <m:sSubPr>
                        <m:ctrlPr>
                          <w:rPr>
                            <w:rFonts w:ascii="Cambria Math" w:hAnsi="Cambria Math" w:cs="Arial"/>
                            <w:b/>
                            <w:bCs/>
                            <w:sz w:val="20"/>
                            <w:szCs w:val="20"/>
                            <w:lang w:eastAsia="en-US"/>
                          </w:rPr>
                        </m:ctrlPr>
                      </m:sSubPr>
                      <m:e>
                        <m:r>
                          <m:rPr>
                            <m:sty m:val="bi"/>
                          </m:rPr>
                          <w:rPr>
                            <w:rFonts w:ascii="Cambria Math" w:hAnsi="Cambria Math" w:cs="Arial"/>
                            <w:sz w:val="20"/>
                            <w:szCs w:val="20"/>
                            <w:lang w:eastAsia="en-US"/>
                          </w:rPr>
                          <m:t>m</m:t>
                        </m:r>
                      </m:e>
                      <m:sub>
                        <m:r>
                          <m:rPr>
                            <m:sty m:val="bi"/>
                          </m:rPr>
                          <w:rPr>
                            <w:rFonts w:ascii="Cambria Math" w:hAnsi="Cambria Math" w:cs="Arial"/>
                            <w:sz w:val="20"/>
                            <w:szCs w:val="20"/>
                            <w:lang w:eastAsia="en-US"/>
                          </w:rPr>
                          <m:t>j</m:t>
                        </m:r>
                      </m:sub>
                    </m:sSub>
                    <m:r>
                      <m:rPr>
                        <m:sty m:val="b"/>
                      </m:rPr>
                      <w:rPr>
                        <w:rFonts w:ascii="Cambria Math" w:hAnsi="Cambria Math" w:cs="Arial"/>
                        <w:sz w:val="20"/>
                        <w:szCs w:val="20"/>
                        <w:lang w:eastAsia="en-US"/>
                      </w:rPr>
                      <m:t xml:space="preserve">) </m:t>
                    </m:r>
                  </m:e>
                </m:func>
              </m:den>
            </m:f>
          </m:e>
        </m:nary>
        <m:r>
          <m:rPr>
            <m:sty m:val="b"/>
          </m:rPr>
          <w:rPr>
            <w:rFonts w:ascii="Cambria Math" w:hAnsi="Cambria Math" w:cs="Arial"/>
            <w:sz w:val="20"/>
            <w:szCs w:val="20"/>
            <w:lang w:eastAsia="en-US"/>
          </w:rPr>
          <m:t xml:space="preserve">  =  </m:t>
        </m:r>
        <m:nary>
          <m:naryPr>
            <m:chr m:val="∑"/>
            <m:limLoc m:val="undOvr"/>
            <m:ctrlPr>
              <w:rPr>
                <w:rFonts w:ascii="Cambria Math" w:hAnsi="Cambria Math" w:cs="Arial"/>
                <w:b/>
                <w:bCs/>
                <w:sz w:val="20"/>
                <w:szCs w:val="20"/>
                <w:lang w:eastAsia="en-US"/>
              </w:rPr>
            </m:ctrlPr>
          </m:naryPr>
          <m:sub>
            <m:r>
              <m:rPr>
                <m:sty m:val="bi"/>
              </m:rPr>
              <w:rPr>
                <w:rFonts w:ascii="Cambria Math" w:hAnsi="Cambria Math" w:cs="Arial"/>
                <w:sz w:val="20"/>
                <w:szCs w:val="20"/>
                <w:lang w:eastAsia="en-US"/>
              </w:rPr>
              <m:t>j</m:t>
            </m:r>
            <m:r>
              <m:rPr>
                <m:sty m:val="b"/>
              </m:rPr>
              <w:rPr>
                <w:rFonts w:ascii="Cambria Math" w:hAnsi="Cambria Math" w:cs="Arial"/>
                <w:sz w:val="20"/>
                <w:szCs w:val="20"/>
                <w:lang w:eastAsia="en-US"/>
              </w:rPr>
              <m:t>-1</m:t>
            </m:r>
          </m:sub>
          <m:sup>
            <m:r>
              <m:rPr>
                <m:sty m:val="bi"/>
              </m:rPr>
              <w:rPr>
                <w:rFonts w:ascii="Cambria Math" w:hAnsi="Cambria Math" w:cs="Arial"/>
                <w:sz w:val="20"/>
                <w:szCs w:val="20"/>
                <w:lang w:eastAsia="en-US"/>
              </w:rPr>
              <m:t>k</m:t>
            </m:r>
          </m:sup>
          <m:e>
            <m:sSub>
              <m:sSubPr>
                <m:ctrlPr>
                  <w:rPr>
                    <w:rFonts w:ascii="Cambria Math" w:hAnsi="Cambria Math" w:cs="Arial"/>
                    <w:b/>
                    <w:bCs/>
                    <w:sz w:val="20"/>
                    <w:szCs w:val="20"/>
                    <w:lang w:eastAsia="en-US"/>
                  </w:rPr>
                </m:ctrlPr>
              </m:sSubPr>
              <m:e>
                <m:r>
                  <m:rPr>
                    <m:sty m:val="bi"/>
                  </m:rPr>
                  <w:rPr>
                    <w:rFonts w:ascii="Cambria Math" w:hAnsi="Cambria Math" w:cs="Arial"/>
                    <w:sz w:val="20"/>
                    <w:szCs w:val="20"/>
                    <w:lang w:eastAsia="en-US"/>
                  </w:rPr>
                  <m:t>t</m:t>
                </m:r>
              </m:e>
              <m:sub>
                <m:r>
                  <m:rPr>
                    <m:sty m:val="bi"/>
                  </m:rPr>
                  <w:rPr>
                    <w:rFonts w:ascii="Cambria Math" w:hAnsi="Cambria Math" w:cs="Arial"/>
                    <w:sz w:val="20"/>
                    <w:szCs w:val="20"/>
                    <w:lang w:eastAsia="en-US"/>
                  </w:rPr>
                  <m:t>j</m:t>
                </m:r>
              </m:sub>
            </m:sSub>
            <m:sSub>
              <m:sSubPr>
                <m:ctrlPr>
                  <w:rPr>
                    <w:rFonts w:ascii="Cambria Math" w:hAnsi="Cambria Math" w:cs="Arial"/>
                    <w:b/>
                    <w:bCs/>
                    <w:sz w:val="20"/>
                    <w:szCs w:val="20"/>
                    <w:lang w:eastAsia="en-US"/>
                  </w:rPr>
                </m:ctrlPr>
              </m:sSubPr>
              <m:e>
                <m:r>
                  <m:rPr>
                    <m:sty m:val="bi"/>
                  </m:rPr>
                  <w:rPr>
                    <w:rFonts w:ascii="Cambria Math" w:hAnsi="Cambria Math" w:cs="Arial"/>
                    <w:sz w:val="20"/>
                    <w:szCs w:val="20"/>
                    <w:lang w:eastAsia="en-US"/>
                  </w:rPr>
                  <m:t>m</m:t>
                </m:r>
              </m:e>
              <m:sub>
                <m:r>
                  <m:rPr>
                    <m:sty m:val="bi"/>
                  </m:rPr>
                  <w:rPr>
                    <w:rFonts w:ascii="Cambria Math" w:hAnsi="Cambria Math" w:cs="Arial"/>
                    <w:sz w:val="20"/>
                    <w:szCs w:val="20"/>
                    <w:lang w:eastAsia="en-US"/>
                  </w:rPr>
                  <m:t>j</m:t>
                </m:r>
              </m:sub>
            </m:sSub>
          </m:e>
        </m:nary>
      </m:oMath>
      <w:r w:rsidR="0019579D" w:rsidRPr="0063537A">
        <w:rPr>
          <w:rFonts w:cs="Arial"/>
          <w:b/>
          <w:bCs/>
          <w:sz w:val="20"/>
          <w:szCs w:val="20"/>
          <w:lang w:eastAsia="en-US"/>
        </w:rPr>
        <w:t xml:space="preserve">                                                           (1)</w:t>
      </w:r>
    </w:p>
    <w:p w14:paraId="33BA4BAE" w14:textId="77777777" w:rsidR="0019579D" w:rsidRPr="0063537A" w:rsidRDefault="0019579D" w:rsidP="0019579D">
      <w:pPr>
        <w:adjustRightInd w:val="0"/>
        <w:spacing w:after="238" w:line="480" w:lineRule="auto"/>
        <w:rPr>
          <w:szCs w:val="24"/>
        </w:rPr>
      </w:pPr>
    </w:p>
    <w:p w14:paraId="0CF62529" w14:textId="77777777" w:rsidR="0019579D" w:rsidRPr="0063537A" w:rsidRDefault="0019579D" w:rsidP="0019579D">
      <w:pPr>
        <w:spacing w:after="112" w:line="480" w:lineRule="auto"/>
        <w:rPr>
          <w:szCs w:val="24"/>
        </w:rPr>
      </w:pPr>
      <w:r w:rsidRPr="0063537A">
        <w:rPr>
          <w:szCs w:val="24"/>
        </w:rPr>
        <w:t xml:space="preserve">Where: </w:t>
      </w:r>
      <w:r w:rsidRPr="0063537A">
        <w:rPr>
          <w:i/>
          <w:szCs w:val="24"/>
        </w:rPr>
        <w:t>k</w:t>
      </w:r>
      <w:r w:rsidRPr="0063537A">
        <w:rPr>
          <w:szCs w:val="24"/>
        </w:rPr>
        <w:t xml:space="preserve"> = the number of dilutions; </w:t>
      </w:r>
      <w:r w:rsidRPr="0063537A">
        <w:rPr>
          <w:i/>
          <w:szCs w:val="24"/>
        </w:rPr>
        <w:t>g</w:t>
      </w:r>
      <w:r w:rsidRPr="0063537A">
        <w:rPr>
          <w:i/>
          <w:szCs w:val="24"/>
          <w:vertAlign w:val="subscript"/>
        </w:rPr>
        <w:t>j</w:t>
      </w:r>
      <w:r w:rsidRPr="0063537A">
        <w:rPr>
          <w:i/>
          <w:szCs w:val="24"/>
        </w:rPr>
        <w:t xml:space="preserve"> </w:t>
      </w:r>
      <w:r w:rsidRPr="0063537A">
        <w:rPr>
          <w:szCs w:val="24"/>
        </w:rPr>
        <w:t xml:space="preserve"> =  the number of positive (or growth) tubes in the </w:t>
      </w:r>
      <w:r w:rsidRPr="0063537A">
        <w:rPr>
          <w:i/>
          <w:szCs w:val="24"/>
        </w:rPr>
        <w:t>j</w:t>
      </w:r>
      <w:r w:rsidRPr="0063537A">
        <w:rPr>
          <w:szCs w:val="24"/>
        </w:rPr>
        <w:t xml:space="preserve">th dilution; </w:t>
      </w:r>
      <w:r w:rsidRPr="0063537A">
        <w:rPr>
          <w:i/>
          <w:szCs w:val="24"/>
        </w:rPr>
        <w:t>m</w:t>
      </w:r>
      <w:r w:rsidRPr="0063537A">
        <w:rPr>
          <w:i/>
          <w:szCs w:val="24"/>
          <w:vertAlign w:val="subscript"/>
        </w:rPr>
        <w:t>j</w:t>
      </w:r>
      <w:r w:rsidRPr="0063537A">
        <w:rPr>
          <w:szCs w:val="24"/>
        </w:rPr>
        <w:t xml:space="preserve">  =  the amount of the original sample put in each tube in the </w:t>
      </w:r>
      <w:r w:rsidRPr="0063537A">
        <w:rPr>
          <w:i/>
          <w:szCs w:val="24"/>
        </w:rPr>
        <w:t>j</w:t>
      </w:r>
      <w:r w:rsidRPr="0063537A">
        <w:rPr>
          <w:szCs w:val="24"/>
        </w:rPr>
        <w:t xml:space="preserve">th dilution; </w:t>
      </w:r>
      <w:r w:rsidRPr="0063537A">
        <w:rPr>
          <w:i/>
          <w:szCs w:val="24"/>
        </w:rPr>
        <w:t>t</w:t>
      </w:r>
      <w:r w:rsidRPr="0063537A">
        <w:rPr>
          <w:i/>
          <w:szCs w:val="24"/>
          <w:vertAlign w:val="subscript"/>
        </w:rPr>
        <w:t>j</w:t>
      </w:r>
      <w:r w:rsidRPr="0063537A">
        <w:rPr>
          <w:szCs w:val="24"/>
          <w:vertAlign w:val="subscript"/>
        </w:rPr>
        <w:t xml:space="preserve"> </w:t>
      </w:r>
      <w:r w:rsidRPr="0063537A">
        <w:rPr>
          <w:szCs w:val="24"/>
        </w:rPr>
        <w:t xml:space="preserve"> = denotes the number of tubes in the </w:t>
      </w:r>
      <w:r w:rsidRPr="0063537A">
        <w:rPr>
          <w:i/>
          <w:szCs w:val="24"/>
        </w:rPr>
        <w:t>j</w:t>
      </w:r>
      <w:r w:rsidRPr="0063537A">
        <w:rPr>
          <w:szCs w:val="24"/>
        </w:rPr>
        <w:t>th dilution (i.e. the number of biological replicates).</w:t>
      </w:r>
    </w:p>
    <w:p w14:paraId="59FC4C4B" w14:textId="77777777" w:rsidR="0019579D" w:rsidRPr="0063537A" w:rsidRDefault="0019579D" w:rsidP="0019579D">
      <w:pPr>
        <w:spacing w:line="480" w:lineRule="auto"/>
        <w:rPr>
          <w:szCs w:val="24"/>
        </w:rPr>
      </w:pPr>
    </w:p>
    <w:p w14:paraId="3F07AE24" w14:textId="77777777" w:rsidR="0019579D" w:rsidRPr="0063537A" w:rsidRDefault="0019579D" w:rsidP="0019579D">
      <w:pPr>
        <w:spacing w:line="480" w:lineRule="auto"/>
        <w:rPr>
          <w:szCs w:val="24"/>
        </w:rPr>
      </w:pPr>
      <w:r w:rsidRPr="0063537A">
        <w:rPr>
          <w:szCs w:val="24"/>
        </w:rPr>
        <w:t>A probability is assigned to each possibility of the number of bacteria based on the outcome at each dilution, a positive outcome being current produced by the reactor. The number with the highest probability is given as the MPN. Using the spreadsheet developed by Blodgett to make these iterative calculations, the most probable numbers of electrogens per 100 ml of wastewater can be calculated (</w:t>
      </w:r>
      <w:r w:rsidRPr="00EA5796">
        <w:rPr>
          <w:color w:val="00B0F0"/>
          <w:szCs w:val="24"/>
        </w:rPr>
        <w:t>Garthright and Blodgett, 2003</w:t>
      </w:r>
      <w:r w:rsidRPr="0063537A">
        <w:rPr>
          <w:szCs w:val="24"/>
        </w:rPr>
        <w:t>).</w:t>
      </w:r>
    </w:p>
    <w:p w14:paraId="24B06D34" w14:textId="77777777" w:rsidR="0019579D" w:rsidRPr="0063537A" w:rsidRDefault="0019579D" w:rsidP="0019579D">
      <w:pPr>
        <w:spacing w:after="112" w:line="480" w:lineRule="auto"/>
        <w:rPr>
          <w:szCs w:val="24"/>
        </w:rPr>
      </w:pPr>
      <w:r w:rsidRPr="0063537A">
        <w:rPr>
          <w:szCs w:val="24"/>
        </w:rPr>
        <w:t xml:space="preserve"> </w:t>
      </w:r>
    </w:p>
    <w:p w14:paraId="1F5A1A5E" w14:textId="77777777" w:rsidR="0019579D" w:rsidRPr="0063537A" w:rsidRDefault="0019579D" w:rsidP="0019579D">
      <w:pPr>
        <w:spacing w:line="480" w:lineRule="auto"/>
        <w:rPr>
          <w:szCs w:val="24"/>
        </w:rPr>
      </w:pPr>
      <w:r w:rsidRPr="0063537A">
        <w:rPr>
          <w:szCs w:val="24"/>
        </w:rPr>
        <w:lastRenderedPageBreak/>
        <w:t>Thomas’ simple formula which is based on the same principles as the full test, but has a simpler algorithm to solve, can also be applied to the data set; this formula has been shown to be in substantial agreement with actual data (</w:t>
      </w:r>
      <w:r w:rsidRPr="00EA5796">
        <w:rPr>
          <w:color w:val="00B0F0"/>
          <w:szCs w:val="24"/>
        </w:rPr>
        <w:t>Thomas, 1942</w:t>
      </w:r>
      <w:r w:rsidRPr="0063537A">
        <w:rPr>
          <w:szCs w:val="24"/>
        </w:rPr>
        <w:t xml:space="preserve">). Using the data from the range of dilutions where at least one of the replicates is positive to where at least one of them is negative, the following calculation can be made: </w:t>
      </w:r>
    </w:p>
    <w:p w14:paraId="5EB23DA5" w14:textId="77777777" w:rsidR="0019579D" w:rsidRPr="0063537A" w:rsidRDefault="0019579D" w:rsidP="0019579D">
      <w:pPr>
        <w:jc w:val="right"/>
      </w:pPr>
      <m:oMathPara>
        <m:oMath>
          <m:r>
            <m:rPr>
              <m:sty m:val="p"/>
            </m:rPr>
            <w:rPr>
              <w:rFonts w:ascii="Cambria Math" w:hAnsi="Cambria Math"/>
            </w:rPr>
            <w:br/>
          </m:r>
          <m:f>
            <m:fPr>
              <m:type m:val="lin"/>
              <m:ctrlPr>
                <w:rPr>
                  <w:rFonts w:ascii="Cambria Math" w:hAnsi="Cambria Math"/>
                  <w:i/>
                </w:rPr>
              </m:ctrlPr>
            </m:fPr>
            <m:num>
              <m:r>
                <w:rPr>
                  <w:rFonts w:ascii="Cambria Math" w:hAnsi="Cambria Math"/>
                </w:rPr>
                <m:t>MPN</m:t>
              </m:r>
            </m:num>
            <m:den>
              <m:r>
                <w:rPr>
                  <w:rFonts w:ascii="Cambria Math" w:hAnsi="Cambria Math"/>
                </w:rPr>
                <m:t xml:space="preserve">100 ml  =  </m:t>
              </m:r>
              <m:f>
                <m:fPr>
                  <m:ctrlPr>
                    <w:rPr>
                      <w:rFonts w:ascii="Cambria Math" w:hAnsi="Cambria Math"/>
                      <w:i/>
                    </w:rPr>
                  </m:ctrlPr>
                </m:fPr>
                <m:num>
                  <m:r>
                    <w:rPr>
                      <w:rFonts w:ascii="Cambria Math" w:hAnsi="Cambria Math"/>
                    </w:rPr>
                    <m:t xml:space="preserve">no.positive tubes  </m:t>
                  </m:r>
                  <m:r>
                    <w:rPr>
                      <w:rFonts w:ascii="Cambria Math" w:hAnsi="Cambria Math" w:hint="eastAsia"/>
                    </w:rPr>
                    <m:t>×</m:t>
                  </m:r>
                  <m:r>
                    <w:rPr>
                      <w:rFonts w:ascii="Cambria Math" w:hAnsi="Cambria Math"/>
                    </w:rPr>
                    <m:t xml:space="preserve">  100</m:t>
                  </m:r>
                </m:num>
                <m:den>
                  <m:rad>
                    <m:radPr>
                      <m:degHide m:val="1"/>
                      <m:ctrlPr>
                        <w:rPr>
                          <w:rFonts w:ascii="Cambria Math" w:hAnsi="Cambria Math"/>
                          <w:i/>
                        </w:rPr>
                      </m:ctrlPr>
                    </m:radPr>
                    <m:deg/>
                    <m:e>
                      <m:d>
                        <m:dPr>
                          <m:ctrlPr>
                            <w:rPr>
                              <w:rFonts w:ascii="Cambria Math" w:hAnsi="Cambria Math"/>
                              <w:i/>
                            </w:rPr>
                          </m:ctrlPr>
                        </m:dPr>
                        <m:e>
                          <m:r>
                            <w:rPr>
                              <w:rFonts w:ascii="Cambria Math" w:hAnsi="Cambria Math"/>
                            </w:rPr>
                            <m:t>ml sample in negative tubes</m:t>
                          </m:r>
                        </m:e>
                      </m:d>
                      <m:r>
                        <w:rPr>
                          <w:rFonts w:ascii="Cambria Math" w:hAnsi="Cambria Math" w:hint="eastAsia"/>
                        </w:rPr>
                        <m:t>×</m:t>
                      </m:r>
                      <m:r>
                        <w:rPr>
                          <w:rFonts w:ascii="Cambria Math" w:hAnsi="Cambria Math"/>
                        </w:rPr>
                        <m:t>(ml sample in all tubes)</m:t>
                      </m:r>
                    </m:e>
                  </m:rad>
                </m:den>
              </m:f>
            </m:den>
          </m:f>
        </m:oMath>
      </m:oMathPara>
      <w:r w:rsidRPr="0063537A">
        <w:t xml:space="preserve">                  (2)</w:t>
      </w:r>
    </w:p>
    <w:p w14:paraId="76F3D74D" w14:textId="77777777" w:rsidR="0019579D" w:rsidRPr="0063537A" w:rsidRDefault="0019579D" w:rsidP="0019579D">
      <w:pPr>
        <w:spacing w:after="112" w:line="480" w:lineRule="auto"/>
        <w:ind w:right="349"/>
        <w:jc w:val="right"/>
        <w:rPr>
          <w:szCs w:val="24"/>
        </w:rPr>
      </w:pPr>
      <w:r w:rsidRPr="0063537A">
        <w:rPr>
          <w:szCs w:val="24"/>
        </w:rPr>
        <w:tab/>
      </w:r>
      <w:r w:rsidRPr="0063537A">
        <w:rPr>
          <w:szCs w:val="24"/>
        </w:rPr>
        <w:tab/>
      </w:r>
    </w:p>
    <w:p w14:paraId="0397A88D" w14:textId="77777777" w:rsidR="0019579D" w:rsidRPr="0063537A" w:rsidRDefault="0019579D" w:rsidP="0019579D">
      <w:pPr>
        <w:spacing w:after="41" w:line="480" w:lineRule="auto"/>
        <w:rPr>
          <w:szCs w:val="24"/>
        </w:rPr>
      </w:pPr>
      <w:r w:rsidRPr="0063537A">
        <w:rPr>
          <w:szCs w:val="24"/>
        </w:rPr>
        <w:t>The approximate confidence limits of this calculation at the 95% level can be estimated from the standard error of log</w:t>
      </w:r>
      <w:r w:rsidRPr="0063537A">
        <w:rPr>
          <w:szCs w:val="24"/>
          <w:vertAlign w:val="subscript"/>
        </w:rPr>
        <w:t>10</w:t>
      </w:r>
      <w:r w:rsidRPr="0063537A">
        <w:rPr>
          <w:szCs w:val="24"/>
        </w:rPr>
        <w:t xml:space="preserve"> (MPN), a method presented by Haldane (</w:t>
      </w:r>
      <w:r w:rsidRPr="00EA5796">
        <w:rPr>
          <w:color w:val="00B0F0"/>
          <w:szCs w:val="24"/>
        </w:rPr>
        <w:t>Haldane, 1939</w:t>
      </w:r>
      <w:r w:rsidRPr="0063537A">
        <w:rPr>
          <w:szCs w:val="24"/>
        </w:rPr>
        <w:t>):</w:t>
      </w:r>
    </w:p>
    <w:p w14:paraId="6C29DB33" w14:textId="77777777" w:rsidR="0019579D" w:rsidRPr="0063537A" w:rsidRDefault="0019579D" w:rsidP="0019579D">
      <w:pPr>
        <w:spacing w:after="48" w:line="480" w:lineRule="auto"/>
        <w:rPr>
          <w:szCs w:val="24"/>
        </w:rPr>
      </w:pPr>
      <w:r w:rsidRPr="0063537A">
        <w:rPr>
          <w:szCs w:val="24"/>
        </w:rPr>
        <w:t>m</w:t>
      </w:r>
      <w:r w:rsidRPr="0063537A">
        <w:rPr>
          <w:szCs w:val="24"/>
          <w:vertAlign w:val="subscript"/>
        </w:rPr>
        <w:t>1</w:t>
      </w:r>
      <w:r w:rsidRPr="0063537A">
        <w:rPr>
          <w:szCs w:val="24"/>
        </w:rPr>
        <w:t>, m</w:t>
      </w:r>
      <w:r w:rsidRPr="0063537A">
        <w:rPr>
          <w:szCs w:val="24"/>
          <w:vertAlign w:val="subscript"/>
        </w:rPr>
        <w:t>2</w:t>
      </w:r>
      <w:r w:rsidRPr="0063537A">
        <w:rPr>
          <w:szCs w:val="24"/>
        </w:rPr>
        <w:t>, m</w:t>
      </w:r>
      <w:r w:rsidRPr="0063537A">
        <w:rPr>
          <w:szCs w:val="24"/>
          <w:vertAlign w:val="subscript"/>
        </w:rPr>
        <w:t>3</w:t>
      </w:r>
      <w:r w:rsidRPr="0063537A">
        <w:rPr>
          <w:szCs w:val="24"/>
        </w:rPr>
        <w:t xml:space="preserve"> ……. denotes inoculation amounts ranging from the largest to the smallest of the chosen dilutions, </w:t>
      </w:r>
    </w:p>
    <w:p w14:paraId="1CCB134A" w14:textId="77777777" w:rsidR="0019579D" w:rsidRPr="0063537A" w:rsidRDefault="0019579D" w:rsidP="0019579D">
      <w:pPr>
        <w:spacing w:after="178" w:line="480" w:lineRule="auto"/>
        <w:ind w:left="1606" w:right="827" w:hanging="1606"/>
        <w:rPr>
          <w:szCs w:val="24"/>
        </w:rPr>
      </w:pPr>
      <w:r w:rsidRPr="0063537A">
        <w:rPr>
          <w:szCs w:val="24"/>
        </w:rPr>
        <w:t>g</w:t>
      </w:r>
      <w:r w:rsidRPr="0063537A">
        <w:rPr>
          <w:szCs w:val="24"/>
          <w:vertAlign w:val="subscript"/>
        </w:rPr>
        <w:t>1</w:t>
      </w:r>
      <w:r w:rsidRPr="0063537A">
        <w:rPr>
          <w:szCs w:val="24"/>
        </w:rPr>
        <w:t>, g</w:t>
      </w:r>
      <w:r w:rsidRPr="0063537A">
        <w:rPr>
          <w:szCs w:val="24"/>
          <w:vertAlign w:val="subscript"/>
        </w:rPr>
        <w:t>2</w:t>
      </w:r>
      <w:r w:rsidRPr="0063537A">
        <w:rPr>
          <w:szCs w:val="24"/>
        </w:rPr>
        <w:t>, g</w:t>
      </w:r>
      <w:r w:rsidRPr="0063537A">
        <w:rPr>
          <w:szCs w:val="24"/>
          <w:vertAlign w:val="subscript"/>
        </w:rPr>
        <w:t>3</w:t>
      </w:r>
      <w:r w:rsidRPr="0063537A">
        <w:rPr>
          <w:szCs w:val="24"/>
        </w:rPr>
        <w:t xml:space="preserve"> ……. denotes the number of positive tubes at the corresponding dilutions. </w:t>
      </w:r>
    </w:p>
    <w:p w14:paraId="35AFB6C1" w14:textId="77777777" w:rsidR="0019579D" w:rsidRPr="0063537A" w:rsidRDefault="0019579D" w:rsidP="0019579D">
      <w:pPr>
        <w:spacing w:after="0" w:line="480" w:lineRule="auto"/>
        <w:ind w:left="1613" w:hanging="1613"/>
        <w:rPr>
          <w:szCs w:val="24"/>
        </w:rPr>
      </w:pPr>
      <w:r w:rsidRPr="0063537A">
        <w:rPr>
          <w:szCs w:val="24"/>
        </w:rPr>
        <w:t>Firstly T is calculated using the first dilution, this is repeated for the number of dilutions used:</w:t>
      </w:r>
    </w:p>
    <w:p w14:paraId="3102DEC9" w14:textId="77777777" w:rsidR="0019579D" w:rsidRPr="0063537A" w:rsidRDefault="0099767E" w:rsidP="0019579D">
      <w:pPr>
        <w:spacing w:after="200" w:line="276" w:lineRule="auto"/>
        <w:jc w:val="right"/>
        <w:rPr>
          <w:rFonts w:ascii="Calibri" w:eastAsia="SimSun" w:hAnsi="Calibri"/>
        </w:rPr>
      </w:pPr>
      <m:oMath>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1</m:t>
            </m:r>
          </m:sub>
        </m:sSub>
        <m:r>
          <w:rPr>
            <w:rFonts w:ascii="Cambria Math" w:eastAsia="SimSun" w:hAnsi="Cambria Math"/>
          </w:rPr>
          <m:t>=</m:t>
        </m:r>
        <m:func>
          <m:funcPr>
            <m:ctrlPr>
              <w:rPr>
                <w:rFonts w:ascii="Cambria Math" w:eastAsia="SimSun" w:hAnsi="Cambria Math"/>
                <w:i/>
              </w:rPr>
            </m:ctrlPr>
          </m:funcPr>
          <m:fName>
            <m:r>
              <m:rPr>
                <m:sty m:val="p"/>
              </m:rPr>
              <w:rPr>
                <w:rFonts w:ascii="Cambria Math" w:eastAsia="SimSun" w:hAnsi="Cambria Math"/>
              </w:rPr>
              <m:t>exp</m:t>
            </m:r>
          </m:fName>
          <m:e>
            <m:d>
              <m:dPr>
                <m:ctrlPr>
                  <w:rPr>
                    <w:rFonts w:ascii="Cambria Math" w:eastAsia="SimSun" w:hAnsi="Cambria Math"/>
                    <w:i/>
                  </w:rPr>
                </m:ctrlPr>
              </m:dPr>
              <m:e>
                <m:r>
                  <w:rPr>
                    <w:rFonts w:ascii="Cambria Math" w:eastAsia="SimSun" w:hAnsi="Cambria Math"/>
                  </w:rPr>
                  <m:t xml:space="preserve">- MPN × </m:t>
                </m:r>
                <m:sSub>
                  <m:sSubPr>
                    <m:ctrlPr>
                      <w:rPr>
                        <w:rFonts w:ascii="Cambria Math" w:eastAsia="SimSun" w:hAnsi="Cambria Math"/>
                        <w:i/>
                      </w:rPr>
                    </m:ctrlPr>
                  </m:sSubPr>
                  <m:e>
                    <m:r>
                      <w:rPr>
                        <w:rFonts w:ascii="Cambria Math" w:eastAsia="SimSun" w:hAnsi="Cambria Math"/>
                      </w:rPr>
                      <m:t>m</m:t>
                    </m:r>
                  </m:e>
                  <m:sub>
                    <m:r>
                      <w:rPr>
                        <w:rFonts w:ascii="Cambria Math" w:eastAsia="SimSun" w:hAnsi="Cambria Math"/>
                      </w:rPr>
                      <m:t>1</m:t>
                    </m:r>
                  </m:sub>
                </m:sSub>
              </m:e>
            </m:d>
          </m:e>
        </m:func>
        <m:r>
          <w:rPr>
            <w:rFonts w:ascii="Cambria Math" w:eastAsia="SimSun" w:hAnsi="Cambria Math"/>
          </w:rPr>
          <m:t xml:space="preserve"> , </m:t>
        </m:r>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2</m:t>
            </m:r>
          </m:sub>
        </m:sSub>
        <m:r>
          <w:rPr>
            <w:rFonts w:ascii="Cambria Math" w:eastAsia="SimSun" w:hAnsi="Cambria Math"/>
          </w:rPr>
          <m:t>=</m:t>
        </m:r>
        <m:func>
          <m:funcPr>
            <m:ctrlPr>
              <w:rPr>
                <w:rFonts w:ascii="Cambria Math" w:eastAsia="SimSun" w:hAnsi="Cambria Math"/>
                <w:i/>
              </w:rPr>
            </m:ctrlPr>
          </m:funcPr>
          <m:fName>
            <m:r>
              <m:rPr>
                <m:sty m:val="p"/>
              </m:rPr>
              <w:rPr>
                <w:rFonts w:ascii="Cambria Math" w:eastAsia="SimSun" w:hAnsi="Cambria Math"/>
              </w:rPr>
              <m:t>exp</m:t>
            </m:r>
          </m:fName>
          <m:e>
            <m:d>
              <m:dPr>
                <m:ctrlPr>
                  <w:rPr>
                    <w:rFonts w:ascii="Cambria Math" w:eastAsia="SimSun" w:hAnsi="Cambria Math"/>
                    <w:i/>
                  </w:rPr>
                </m:ctrlPr>
              </m:dPr>
              <m:e>
                <m:r>
                  <w:rPr>
                    <w:rFonts w:ascii="Cambria Math" w:eastAsia="SimSun" w:hAnsi="Cambria Math"/>
                  </w:rPr>
                  <m:t xml:space="preserve">- MPN × </m:t>
                </m:r>
                <m:sSub>
                  <m:sSubPr>
                    <m:ctrlPr>
                      <w:rPr>
                        <w:rFonts w:ascii="Cambria Math" w:eastAsia="SimSun" w:hAnsi="Cambria Math"/>
                        <w:i/>
                      </w:rPr>
                    </m:ctrlPr>
                  </m:sSubPr>
                  <m:e>
                    <m:r>
                      <w:rPr>
                        <w:rFonts w:ascii="Cambria Math" w:eastAsia="SimSun" w:hAnsi="Cambria Math"/>
                      </w:rPr>
                      <m:t>m</m:t>
                    </m:r>
                  </m:e>
                  <m:sub>
                    <m:r>
                      <w:rPr>
                        <w:rFonts w:ascii="Cambria Math" w:eastAsia="SimSun" w:hAnsi="Cambria Math"/>
                      </w:rPr>
                      <m:t>2</m:t>
                    </m:r>
                  </m:sub>
                </m:sSub>
              </m:e>
            </m:d>
          </m:e>
        </m:func>
        <m:r>
          <w:rPr>
            <w:rFonts w:ascii="Cambria Math" w:eastAsia="SimSun" w:hAnsi="Cambria Math"/>
          </w:rPr>
          <m:t>………etc</m:t>
        </m:r>
      </m:oMath>
      <w:r w:rsidR="0019579D" w:rsidRPr="0063537A">
        <w:rPr>
          <w:rFonts w:ascii="Calibri" w:eastAsia="SimSun" w:hAnsi="Calibri"/>
        </w:rPr>
        <w:t xml:space="preserve">                                 (3)</w:t>
      </w:r>
    </w:p>
    <w:p w14:paraId="5629823C" w14:textId="77777777" w:rsidR="0019579D" w:rsidRPr="0063537A" w:rsidRDefault="0019579D" w:rsidP="0019579D">
      <w:pPr>
        <w:spacing w:after="200" w:line="276" w:lineRule="auto"/>
        <w:rPr>
          <w:rFonts w:eastAsia="SimSun"/>
        </w:rPr>
      </w:pPr>
      <w:r w:rsidRPr="0063537A">
        <w:rPr>
          <w:rFonts w:eastAsia="SimSun"/>
        </w:rPr>
        <w:t>The term B can then be calculated:</w:t>
      </w:r>
    </w:p>
    <w:p w14:paraId="11762100" w14:textId="77777777" w:rsidR="0019579D" w:rsidRPr="0063537A" w:rsidRDefault="0019579D" w:rsidP="0019579D">
      <w:pPr>
        <w:spacing w:after="200" w:line="276" w:lineRule="auto"/>
        <w:jc w:val="right"/>
        <w:rPr>
          <w:rFonts w:ascii="Calibri" w:eastAsia="SimSun" w:hAnsi="Calibri"/>
        </w:rPr>
      </w:pPr>
      <m:oMath>
        <m:r>
          <w:rPr>
            <w:rFonts w:ascii="Cambria Math" w:eastAsia="SimSun" w:hAnsi="Cambria Math"/>
          </w:rPr>
          <m:t xml:space="preserve">B= </m:t>
        </m:r>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 xml:space="preserve">1  </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m</m:t>
                    </m:r>
                  </m:e>
                  <m:sub>
                    <m:r>
                      <w:rPr>
                        <w:rFonts w:ascii="Cambria Math" w:eastAsia="SimSun" w:hAnsi="Cambria Math"/>
                      </w:rPr>
                      <m:t xml:space="preserve">1 </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m</m:t>
                    </m:r>
                  </m:e>
                  <m:sub>
                    <m:r>
                      <w:rPr>
                        <w:rFonts w:ascii="Cambria Math" w:eastAsia="SimSun" w:hAnsi="Cambria Math"/>
                      </w:rPr>
                      <m:t xml:space="preserve">1 </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 xml:space="preserve">1 </m:t>
                    </m:r>
                  </m:sub>
                </m:sSub>
              </m:num>
              <m:den>
                <m:d>
                  <m:dPr>
                    <m:ctrlPr>
                      <w:rPr>
                        <w:rFonts w:ascii="Cambria Math" w:eastAsia="SimSun" w:hAnsi="Cambria Math"/>
                        <w:i/>
                      </w:rPr>
                    </m:ctrlPr>
                  </m:dPr>
                  <m:e>
                    <m:sSup>
                      <m:sSupPr>
                        <m:ctrlPr>
                          <w:rPr>
                            <w:rFonts w:ascii="Cambria Math" w:eastAsia="SimSun" w:hAnsi="Cambria Math"/>
                            <w:i/>
                          </w:rPr>
                        </m:ctrlPr>
                      </m:sSup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1</m:t>
                                </m:r>
                              </m:sub>
                            </m:sSub>
                            <m:r>
                              <w:rPr>
                                <w:rFonts w:ascii="Cambria Math" w:eastAsia="SimSun" w:hAnsi="Cambria Math"/>
                              </w:rPr>
                              <m:t>- 1</m:t>
                            </m:r>
                          </m:e>
                        </m:d>
                      </m:e>
                      <m:sup>
                        <m:r>
                          <w:rPr>
                            <w:rFonts w:ascii="Cambria Math" w:eastAsia="SimSun" w:hAnsi="Cambria Math"/>
                          </w:rPr>
                          <m:t>2</m:t>
                        </m:r>
                      </m:sup>
                    </m:sSup>
                  </m:e>
                </m:d>
              </m:den>
            </m:f>
          </m:e>
        </m:d>
        <m:r>
          <w:rPr>
            <w:rFonts w:ascii="Cambria Math" w:eastAsia="SimSun" w:hAnsi="Cambria Math"/>
          </w:rPr>
          <m:t xml:space="preserve">+ </m:t>
        </m:r>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 xml:space="preserve">2  </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m</m:t>
                    </m:r>
                  </m:e>
                  <m:sub>
                    <m:r>
                      <w:rPr>
                        <w:rFonts w:ascii="Cambria Math" w:eastAsia="SimSun" w:hAnsi="Cambria Math"/>
                      </w:rPr>
                      <m:t xml:space="preserve">2 </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m</m:t>
                    </m:r>
                  </m:e>
                  <m:sub>
                    <m:r>
                      <w:rPr>
                        <w:rFonts w:ascii="Cambria Math" w:eastAsia="SimSun" w:hAnsi="Cambria Math"/>
                      </w:rPr>
                      <m:t xml:space="preserve">2 </m:t>
                    </m:r>
                  </m:sub>
                </m:sSub>
                <m:r>
                  <w:rPr>
                    <w:rFonts w:ascii="Cambria Math" w:eastAsia="SimSun" w:hAnsi="Cambria Math"/>
                  </w:rPr>
                  <m:t xml:space="preserve">× </m:t>
                </m:r>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 xml:space="preserve">2 </m:t>
                    </m:r>
                  </m:sub>
                </m:sSub>
              </m:num>
              <m:den>
                <m:d>
                  <m:dPr>
                    <m:ctrlPr>
                      <w:rPr>
                        <w:rFonts w:ascii="Cambria Math" w:eastAsia="SimSun" w:hAnsi="Cambria Math"/>
                        <w:i/>
                      </w:rPr>
                    </m:ctrlPr>
                  </m:dPr>
                  <m:e>
                    <m:sSup>
                      <m:sSupPr>
                        <m:ctrlPr>
                          <w:rPr>
                            <w:rFonts w:ascii="Cambria Math" w:eastAsia="SimSun" w:hAnsi="Cambria Math"/>
                            <w:i/>
                          </w:rPr>
                        </m:ctrlPr>
                      </m:sSupPr>
                      <m:e>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T</m:t>
                                </m:r>
                              </m:e>
                              <m:sub>
                                <m:r>
                                  <w:rPr>
                                    <w:rFonts w:ascii="Cambria Math" w:eastAsia="SimSun" w:hAnsi="Cambria Math"/>
                                  </w:rPr>
                                  <m:t>2</m:t>
                                </m:r>
                              </m:sub>
                            </m:sSub>
                            <m:r>
                              <w:rPr>
                                <w:rFonts w:ascii="Cambria Math" w:eastAsia="SimSun" w:hAnsi="Cambria Math"/>
                              </w:rPr>
                              <m:t>- 1</m:t>
                            </m:r>
                          </m:e>
                        </m:d>
                      </m:e>
                      <m:sup>
                        <m:r>
                          <w:rPr>
                            <w:rFonts w:ascii="Cambria Math" w:eastAsia="SimSun" w:hAnsi="Cambria Math"/>
                          </w:rPr>
                          <m:t>2</m:t>
                        </m:r>
                      </m:sup>
                    </m:sSup>
                  </m:e>
                </m:d>
              </m:den>
            </m:f>
          </m:e>
        </m:d>
        <m:r>
          <w:rPr>
            <w:rFonts w:ascii="Cambria Math" w:eastAsia="SimSun" w:hAnsi="Cambria Math"/>
          </w:rPr>
          <m:t xml:space="preserve">+ </m:t>
        </m:r>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g</m:t>
                </m:r>
              </m:e>
              <m:sub>
                <m:r>
                  <w:rPr>
                    <w:rFonts w:ascii="Cambria Math" w:eastAsia="SimSun" w:hAnsi="Cambria Math"/>
                  </w:rPr>
                  <m:t>3</m:t>
                </m:r>
              </m:sub>
            </m:sSub>
          </m:e>
        </m:d>
        <m:r>
          <w:rPr>
            <w:rFonts w:ascii="Cambria Math" w:eastAsia="SimSun" w:hAnsi="Cambria Math"/>
          </w:rPr>
          <m:t xml:space="preserve">, </m:t>
        </m:r>
        <m:d>
          <m:dPr>
            <m:begChr m:val="["/>
            <m:endChr m:val="]"/>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rPr>
                  <m:t xml:space="preserve">  g</m:t>
                </m:r>
              </m:e>
              <m:sub>
                <m:r>
                  <w:rPr>
                    <w:rFonts w:ascii="Cambria Math" w:eastAsia="SimSun" w:hAnsi="Cambria Math"/>
                  </w:rPr>
                  <m:t>4</m:t>
                </m:r>
              </m:sub>
            </m:sSub>
          </m:e>
        </m:d>
        <m:r>
          <w:rPr>
            <w:rFonts w:ascii="Cambria Math" w:eastAsia="SimSun" w:hAnsi="Cambria Math"/>
          </w:rPr>
          <m:t>….etc.</m:t>
        </m:r>
      </m:oMath>
      <w:r w:rsidRPr="0063537A">
        <w:rPr>
          <w:rFonts w:ascii="Calibri" w:eastAsia="SimSun" w:hAnsi="Calibri"/>
        </w:rPr>
        <w:t xml:space="preserve">  </w:t>
      </w:r>
      <w:r w:rsidRPr="0063537A">
        <w:rPr>
          <w:rFonts w:ascii="Calibri" w:eastAsia="SimSun" w:hAnsi="Calibri"/>
        </w:rPr>
        <w:tab/>
      </w:r>
      <w:r w:rsidRPr="0063537A">
        <w:rPr>
          <w:rFonts w:ascii="Calibri" w:eastAsia="SimSun" w:hAnsi="Calibri"/>
        </w:rPr>
        <w:tab/>
      </w:r>
      <w:r w:rsidRPr="0063537A">
        <w:rPr>
          <w:rFonts w:ascii="Calibri" w:eastAsia="SimSun" w:hAnsi="Calibri"/>
        </w:rPr>
        <w:tab/>
      </w:r>
      <w:r w:rsidRPr="0063537A">
        <w:rPr>
          <w:rFonts w:ascii="Calibri" w:eastAsia="SimSun" w:hAnsi="Calibri"/>
        </w:rPr>
        <w:tab/>
      </w:r>
      <w:r w:rsidRPr="0063537A">
        <w:rPr>
          <w:rFonts w:ascii="Calibri" w:eastAsia="SimSun" w:hAnsi="Calibri"/>
        </w:rPr>
        <w:tab/>
      </w:r>
      <w:r w:rsidRPr="0063537A">
        <w:rPr>
          <w:rFonts w:ascii="Calibri" w:eastAsia="SimSun" w:hAnsi="Calibri"/>
        </w:rPr>
        <w:tab/>
      </w:r>
      <w:r w:rsidRPr="0063537A">
        <w:rPr>
          <w:rFonts w:ascii="Calibri" w:eastAsia="SimSun" w:hAnsi="Calibri"/>
        </w:rPr>
        <w:tab/>
      </w:r>
      <w:r w:rsidRPr="0063537A">
        <w:rPr>
          <w:rFonts w:ascii="Calibri" w:eastAsia="SimSun" w:hAnsi="Calibri"/>
        </w:rPr>
        <w:tab/>
      </w:r>
      <w:r w:rsidRPr="0063537A">
        <w:rPr>
          <w:rFonts w:ascii="Calibri" w:eastAsia="SimSun" w:hAnsi="Calibri"/>
        </w:rPr>
        <w:tab/>
        <w:t xml:space="preserve"> (4)</w:t>
      </w:r>
    </w:p>
    <w:p w14:paraId="7BDCB15F" w14:textId="77777777" w:rsidR="0019579D" w:rsidRPr="0063537A" w:rsidRDefault="0019579D" w:rsidP="0019579D">
      <w:pPr>
        <w:spacing w:after="200" w:line="276" w:lineRule="auto"/>
        <w:rPr>
          <w:rFonts w:ascii="Calibri" w:eastAsia="SimSun" w:hAnsi="Calibri"/>
        </w:rPr>
      </w:pPr>
      <w:r w:rsidRPr="0063537A">
        <w:rPr>
          <w:rFonts w:eastAsia="SimSun"/>
        </w:rPr>
        <w:t>Then the</w:t>
      </w:r>
      <w:r w:rsidRPr="0063537A">
        <w:rPr>
          <w:rFonts w:ascii="Calibri" w:eastAsia="SimSun" w:hAnsi="Calibri"/>
        </w:rPr>
        <w:t xml:space="preserve"> </w:t>
      </w:r>
      <w:r w:rsidRPr="0063537A">
        <w:rPr>
          <w:szCs w:val="24"/>
        </w:rPr>
        <w:t>standard error of log</w:t>
      </w:r>
      <w:r w:rsidRPr="0063537A">
        <w:rPr>
          <w:szCs w:val="24"/>
          <w:vertAlign w:val="subscript"/>
        </w:rPr>
        <w:t>10</w:t>
      </w:r>
      <w:r w:rsidRPr="0063537A">
        <w:rPr>
          <w:szCs w:val="24"/>
        </w:rPr>
        <w:t xml:space="preserve"> (MPN)</w:t>
      </w:r>
    </w:p>
    <w:p w14:paraId="5C8D8870" w14:textId="77777777" w:rsidR="0019579D" w:rsidRPr="0063537A" w:rsidRDefault="0019579D" w:rsidP="0019579D">
      <w:pPr>
        <w:spacing w:after="200" w:line="276" w:lineRule="auto"/>
        <w:jc w:val="right"/>
        <w:rPr>
          <w:rFonts w:ascii="Calibri" w:eastAsia="SimSun" w:hAnsi="Calibri"/>
        </w:rPr>
      </w:pPr>
      <m:oMath>
        <m:r>
          <w:rPr>
            <w:rFonts w:ascii="Cambria Math" w:eastAsia="SimSun" w:hAnsi="Cambria Math"/>
          </w:rPr>
          <m:t xml:space="preserve">Standard Error of </m:t>
        </m:r>
        <m:func>
          <m:funcPr>
            <m:ctrlPr>
              <w:rPr>
                <w:rFonts w:ascii="Cambria Math" w:eastAsia="SimSun" w:hAnsi="Cambria Math"/>
                <w:i/>
              </w:rPr>
            </m:ctrlPr>
          </m:funcPr>
          <m:fName>
            <m:r>
              <m:rPr>
                <m:sty m:val="p"/>
              </m:rPr>
              <w:rPr>
                <w:rFonts w:ascii="Cambria Math" w:eastAsia="SimSun" w:hAnsi="Cambria Math"/>
              </w:rPr>
              <m:t>log</m:t>
            </m:r>
          </m:fName>
          <m:e>
            <m:r>
              <w:rPr>
                <w:rFonts w:ascii="Cambria Math" w:eastAsia="SimSun" w:hAnsi="Cambria Math"/>
              </w:rPr>
              <m:t xml:space="preserve">10 </m:t>
            </m:r>
            <m:d>
              <m:dPr>
                <m:ctrlPr>
                  <w:rPr>
                    <w:rFonts w:ascii="Cambria Math" w:eastAsia="SimSun" w:hAnsi="Cambria Math"/>
                    <w:i/>
                  </w:rPr>
                </m:ctrlPr>
              </m:dPr>
              <m:e>
                <m:r>
                  <w:rPr>
                    <w:rFonts w:ascii="Cambria Math" w:eastAsia="SimSun" w:hAnsi="Cambria Math"/>
                  </w:rPr>
                  <m:t>MPN</m:t>
                </m:r>
              </m:e>
            </m:d>
          </m:e>
        </m:func>
        <m:r>
          <w:rPr>
            <w:rFonts w:ascii="Cambria Math" w:eastAsia="SimSun" w:hAnsi="Cambria Math"/>
          </w:rPr>
          <m:t xml:space="preserve">= </m:t>
        </m:r>
        <m:f>
          <m:fPr>
            <m:type m:val="lin"/>
            <m:ctrlPr>
              <w:rPr>
                <w:rFonts w:ascii="Cambria Math" w:eastAsia="SimSun" w:hAnsi="Cambria Math"/>
                <w:i/>
              </w:rPr>
            </m:ctrlPr>
          </m:fPr>
          <m:num>
            <m:r>
              <w:rPr>
                <w:rFonts w:ascii="Cambria Math" w:eastAsia="SimSun" w:hAnsi="Cambria Math"/>
              </w:rPr>
              <m:t>1</m:t>
            </m:r>
          </m:num>
          <m:den>
            <m:d>
              <m:dPr>
                <m:ctrlPr>
                  <w:rPr>
                    <w:rFonts w:ascii="Cambria Math" w:eastAsia="SimSun" w:hAnsi="Cambria Math"/>
                    <w:i/>
                  </w:rPr>
                </m:ctrlPr>
              </m:dPr>
              <m:e>
                <m:r>
                  <w:rPr>
                    <w:rFonts w:ascii="Cambria Math" w:eastAsia="SimSun" w:hAnsi="Cambria Math"/>
                  </w:rPr>
                  <m:t xml:space="preserve">2.303 ×MPN × </m:t>
                </m:r>
                <m:d>
                  <m:dPr>
                    <m:ctrlPr>
                      <w:rPr>
                        <w:rFonts w:ascii="Cambria Math" w:eastAsia="SimSun" w:hAnsi="Cambria Math"/>
                        <w:i/>
                      </w:rPr>
                    </m:ctrlPr>
                  </m:dPr>
                  <m:e>
                    <m:sSup>
                      <m:sSupPr>
                        <m:ctrlPr>
                          <w:rPr>
                            <w:rFonts w:ascii="Cambria Math" w:eastAsia="SimSun" w:hAnsi="Cambria Math"/>
                            <w:i/>
                          </w:rPr>
                        </m:ctrlPr>
                      </m:sSupPr>
                      <m:e>
                        <m:r>
                          <w:rPr>
                            <w:rFonts w:ascii="Cambria Math" w:eastAsia="SimSun" w:hAnsi="Cambria Math"/>
                          </w:rPr>
                          <m:t>B</m:t>
                        </m:r>
                      </m:e>
                      <m:sup>
                        <m:r>
                          <w:rPr>
                            <w:rFonts w:ascii="Cambria Math" w:eastAsia="SimSun" w:hAnsi="Cambria Math"/>
                          </w:rPr>
                          <m:t>0.5</m:t>
                        </m:r>
                      </m:sup>
                    </m:sSup>
                  </m:e>
                </m:d>
              </m:e>
            </m:d>
          </m:den>
        </m:f>
      </m:oMath>
      <w:r w:rsidRPr="0063537A">
        <w:rPr>
          <w:rFonts w:ascii="Calibri" w:eastAsia="SimSun" w:hAnsi="Calibri"/>
        </w:rPr>
        <w:t xml:space="preserve">  </w:t>
      </w:r>
      <w:r w:rsidRPr="0063537A">
        <w:rPr>
          <w:rFonts w:ascii="Calibri" w:eastAsia="SimSun" w:hAnsi="Calibri"/>
        </w:rPr>
        <w:tab/>
      </w:r>
      <w:r w:rsidRPr="0063537A">
        <w:rPr>
          <w:rFonts w:ascii="Calibri" w:eastAsia="SimSun" w:hAnsi="Calibri"/>
        </w:rPr>
        <w:tab/>
        <w:t xml:space="preserve">        (5)</w:t>
      </w:r>
    </w:p>
    <w:p w14:paraId="3CB82580" w14:textId="77777777" w:rsidR="0019579D" w:rsidRPr="0063537A" w:rsidRDefault="0019579D" w:rsidP="0019579D">
      <w:pPr>
        <w:spacing w:after="137" w:line="480" w:lineRule="auto"/>
        <w:rPr>
          <w:szCs w:val="24"/>
        </w:rPr>
      </w:pPr>
      <w:r w:rsidRPr="0063537A">
        <w:rPr>
          <w:szCs w:val="24"/>
        </w:rPr>
        <w:t xml:space="preserve">95% confidence intervals (CI) are given by: </w:t>
      </w:r>
    </w:p>
    <w:p w14:paraId="7F838027" w14:textId="77777777" w:rsidR="0019579D" w:rsidRPr="0063537A" w:rsidRDefault="0099767E" w:rsidP="0019579D">
      <w:pPr>
        <w:widowControl w:val="0"/>
        <w:spacing w:after="200" w:line="276" w:lineRule="auto"/>
        <w:jc w:val="right"/>
        <w:rPr>
          <w:rFonts w:eastAsia="SimSun"/>
        </w:rPr>
      </w:pPr>
      <m:oMath>
        <m:sSub>
          <m:sSubPr>
            <m:ctrlPr>
              <w:rPr>
                <w:rFonts w:ascii="Cambria Math" w:eastAsia="SimSun" w:hAnsi="Cambria Math"/>
                <w:i/>
              </w:rPr>
            </m:ctrlPr>
          </m:sSubPr>
          <m:e>
            <m:r>
              <w:rPr>
                <w:rFonts w:ascii="Cambria Math" w:eastAsia="SimSun" w:hAnsi="Cambria Math"/>
              </w:rPr>
              <m:t>Log</m:t>
            </m:r>
          </m:e>
          <m:sub>
            <m:r>
              <w:rPr>
                <w:rFonts w:ascii="Cambria Math" w:eastAsia="SimSun" w:hAnsi="Cambria Math"/>
              </w:rPr>
              <m:t xml:space="preserve">10  </m:t>
            </m:r>
          </m:sub>
        </m:sSub>
        <m:d>
          <m:dPr>
            <m:ctrlPr>
              <w:rPr>
                <w:rFonts w:ascii="Cambria Math" w:eastAsia="SimSun" w:hAnsi="Cambria Math"/>
                <w:i/>
              </w:rPr>
            </m:ctrlPr>
          </m:dPr>
          <m:e>
            <m:r>
              <w:rPr>
                <w:rFonts w:ascii="Cambria Math" w:eastAsia="SimSun" w:hAnsi="Cambria Math"/>
              </w:rPr>
              <m:t>MPN</m:t>
            </m:r>
          </m:e>
        </m:d>
        <m:r>
          <w:rPr>
            <w:rFonts w:ascii="Cambria Math" w:eastAsia="SimSun" w:hAnsi="Cambria Math"/>
          </w:rPr>
          <m:t xml:space="preserve"> ±1.96 ×Standard Error</m:t>
        </m:r>
      </m:oMath>
      <w:r w:rsidR="0019579D" w:rsidRPr="0063537A">
        <w:rPr>
          <w:rFonts w:eastAsia="SimSun"/>
        </w:rPr>
        <w:tab/>
        <w:t xml:space="preserve">                         </w:t>
      </w:r>
      <w:r w:rsidR="0019579D" w:rsidRPr="0063537A">
        <w:rPr>
          <w:rFonts w:eastAsia="SimSun"/>
        </w:rPr>
        <w:tab/>
        <w:t>(6)</w:t>
      </w:r>
    </w:p>
    <w:p w14:paraId="72D86482" w14:textId="77777777" w:rsidR="0019579D" w:rsidRPr="0063537A" w:rsidRDefault="0019579D" w:rsidP="0019579D">
      <w:pPr>
        <w:spacing w:after="137" w:line="480" w:lineRule="auto"/>
        <w:rPr>
          <w:szCs w:val="24"/>
        </w:rPr>
      </w:pPr>
    </w:p>
    <w:p w14:paraId="7294B14E" w14:textId="77777777" w:rsidR="0019579D" w:rsidRPr="0063537A" w:rsidRDefault="0019579D" w:rsidP="0019579D">
      <w:pPr>
        <w:spacing w:line="480" w:lineRule="auto"/>
        <w:rPr>
          <w:szCs w:val="24"/>
        </w:rPr>
      </w:pPr>
      <w:r w:rsidRPr="0063537A">
        <w:rPr>
          <w:szCs w:val="24"/>
        </w:rPr>
        <w:t xml:space="preserve">The MPN method is based on the assumptions that: bacteria are distributed randomly within the sample; they are separate, not clustered together; they do not repel each other; and every </w:t>
      </w:r>
      <w:r w:rsidRPr="0063537A">
        <w:rPr>
          <w:szCs w:val="24"/>
        </w:rPr>
        <w:lastRenderedPageBreak/>
        <w:t>reactor whose inoculum contains at least one viable organism will produce detectable growth or change; and the reactors are independent (</w:t>
      </w:r>
      <w:r w:rsidRPr="00EA5796">
        <w:rPr>
          <w:color w:val="00B0F0"/>
          <w:szCs w:val="24"/>
        </w:rPr>
        <w:t>Blodgett, 2009</w:t>
      </w:r>
      <w:r w:rsidRPr="0063537A">
        <w:rPr>
          <w:szCs w:val="24"/>
        </w:rPr>
        <w:t xml:space="preserve">). </w:t>
      </w:r>
    </w:p>
    <w:p w14:paraId="4E83A66B" w14:textId="77777777" w:rsidR="0019579D" w:rsidRPr="0063537A" w:rsidRDefault="0019579D" w:rsidP="00763BFE">
      <w:pPr>
        <w:spacing w:line="480" w:lineRule="auto"/>
        <w:rPr>
          <w:szCs w:val="24"/>
        </w:rPr>
      </w:pPr>
    </w:p>
    <w:p w14:paraId="438AF21F" w14:textId="357ED972" w:rsidR="002D558C" w:rsidRPr="002D558C" w:rsidRDefault="002D558C" w:rsidP="00CE28DC">
      <w:pPr>
        <w:spacing w:after="0" w:line="480" w:lineRule="auto"/>
        <w:ind w:left="0" w:right="0" w:firstLine="0"/>
        <w:rPr>
          <w:b/>
          <w:szCs w:val="24"/>
        </w:rPr>
      </w:pPr>
      <w:r w:rsidRPr="002D558C">
        <w:rPr>
          <w:b/>
          <w:szCs w:val="24"/>
        </w:rPr>
        <w:t xml:space="preserve">Supplementary results </w:t>
      </w:r>
    </w:p>
    <w:p w14:paraId="3E9CEC28" w14:textId="77777777" w:rsidR="002D558C" w:rsidRDefault="002D558C" w:rsidP="00CE28DC">
      <w:pPr>
        <w:spacing w:after="0" w:line="480" w:lineRule="auto"/>
        <w:ind w:left="0" w:right="0" w:firstLine="0"/>
        <w:rPr>
          <w:b/>
          <w:szCs w:val="24"/>
        </w:rPr>
      </w:pPr>
    </w:p>
    <w:p w14:paraId="71ED7804" w14:textId="1DD26CD4" w:rsidR="002D558C" w:rsidRDefault="002D558C" w:rsidP="002D558C">
      <w:pPr>
        <w:spacing w:line="480" w:lineRule="auto"/>
        <w:ind w:left="0" w:right="0"/>
        <w:rPr>
          <w:b/>
          <w:szCs w:val="24"/>
        </w:rPr>
      </w:pPr>
      <w:r>
        <w:rPr>
          <w:b/>
          <w:szCs w:val="24"/>
        </w:rPr>
        <w:t>Table</w:t>
      </w:r>
      <w:r w:rsidRPr="00521589">
        <w:rPr>
          <w:b/>
          <w:szCs w:val="24"/>
        </w:rPr>
        <w:t xml:space="preserve"> </w:t>
      </w:r>
      <w:r>
        <w:rPr>
          <w:b/>
          <w:szCs w:val="24"/>
        </w:rPr>
        <w:t>S</w:t>
      </w:r>
      <w:r w:rsidR="006715C3">
        <w:rPr>
          <w:b/>
          <w:szCs w:val="24"/>
        </w:rPr>
        <w:t>1</w:t>
      </w:r>
      <w:r>
        <w:rPr>
          <w:b/>
          <w:szCs w:val="24"/>
        </w:rPr>
        <w:t>.</w:t>
      </w:r>
      <w:r w:rsidRPr="00F573BB">
        <w:rPr>
          <w:szCs w:val="24"/>
        </w:rPr>
        <w:t xml:space="preserve"> COD removal and Coulombic efficiencies of all reactors fed on the different substrates.  </w:t>
      </w:r>
      <w:r w:rsidRPr="00521589">
        <w:rPr>
          <w:szCs w:val="24"/>
        </w:rPr>
        <w:t>The values in grey are the reactors where acclimatisation did not occur</w:t>
      </w:r>
      <w:r w:rsidRPr="00521589">
        <w:rPr>
          <w:b/>
          <w:szCs w:val="24"/>
        </w:rPr>
        <w:t xml:space="preserve"> </w:t>
      </w:r>
    </w:p>
    <w:tbl>
      <w:tblPr>
        <w:tblW w:w="86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0"/>
        <w:gridCol w:w="417"/>
        <w:gridCol w:w="425"/>
        <w:gridCol w:w="426"/>
        <w:gridCol w:w="425"/>
        <w:gridCol w:w="425"/>
        <w:gridCol w:w="425"/>
        <w:gridCol w:w="429"/>
        <w:gridCol w:w="428"/>
        <w:gridCol w:w="428"/>
        <w:gridCol w:w="428"/>
        <w:gridCol w:w="429"/>
        <w:gridCol w:w="428"/>
        <w:gridCol w:w="428"/>
        <w:gridCol w:w="425"/>
        <w:gridCol w:w="429"/>
        <w:gridCol w:w="425"/>
        <w:gridCol w:w="425"/>
      </w:tblGrid>
      <w:tr w:rsidR="002D558C" w:rsidRPr="00D14384" w14:paraId="357A5385" w14:textId="77777777" w:rsidTr="009427CF">
        <w:trPr>
          <w:trHeight w:val="377"/>
        </w:trPr>
        <w:tc>
          <w:tcPr>
            <w:tcW w:w="1430" w:type="dxa"/>
            <w:tcBorders>
              <w:top w:val="single" w:sz="4" w:space="0" w:color="auto"/>
              <w:left w:val="nil"/>
              <w:bottom w:val="single" w:sz="4" w:space="0" w:color="auto"/>
              <w:right w:val="nil"/>
            </w:tcBorders>
            <w:shd w:val="clear" w:color="auto" w:fill="auto"/>
            <w:noWrap/>
            <w:vAlign w:val="center"/>
            <w:hideMark/>
          </w:tcPr>
          <w:p w14:paraId="3E2234E1" w14:textId="77777777" w:rsidR="002D558C" w:rsidRPr="00D14384" w:rsidRDefault="002D558C" w:rsidP="009427CF">
            <w:pPr>
              <w:keepLines/>
              <w:snapToGrid w:val="0"/>
              <w:spacing w:line="240" w:lineRule="auto"/>
              <w:rPr>
                <w:b/>
                <w:sz w:val="20"/>
                <w:szCs w:val="18"/>
              </w:rPr>
            </w:pPr>
            <w:r w:rsidRPr="00D14384">
              <w:rPr>
                <w:b/>
                <w:sz w:val="20"/>
                <w:szCs w:val="18"/>
              </w:rPr>
              <w:t>Inocul</w:t>
            </w:r>
            <w:r>
              <w:rPr>
                <w:b/>
                <w:sz w:val="20"/>
                <w:szCs w:val="18"/>
              </w:rPr>
              <w:t>um</w:t>
            </w:r>
            <w:r w:rsidRPr="00D14384">
              <w:rPr>
                <w:b/>
                <w:sz w:val="20"/>
                <w:szCs w:val="18"/>
              </w:rPr>
              <w:t xml:space="preserve"> (ml)</w:t>
            </w:r>
          </w:p>
        </w:tc>
        <w:tc>
          <w:tcPr>
            <w:tcW w:w="417" w:type="dxa"/>
            <w:tcBorders>
              <w:top w:val="single" w:sz="4" w:space="0" w:color="auto"/>
              <w:left w:val="nil"/>
              <w:bottom w:val="single" w:sz="4" w:space="0" w:color="auto"/>
              <w:right w:val="nil"/>
            </w:tcBorders>
            <w:shd w:val="clear" w:color="auto" w:fill="auto"/>
            <w:noWrap/>
            <w:vAlign w:val="center"/>
            <w:hideMark/>
          </w:tcPr>
          <w:p w14:paraId="4153664B" w14:textId="77777777" w:rsidR="002D558C" w:rsidRPr="00D14384" w:rsidRDefault="002D558C" w:rsidP="009427CF">
            <w:pPr>
              <w:keepLines/>
              <w:snapToGrid w:val="0"/>
              <w:spacing w:line="240" w:lineRule="auto"/>
              <w:jc w:val="center"/>
              <w:rPr>
                <w:b/>
                <w:sz w:val="20"/>
                <w:szCs w:val="16"/>
              </w:rPr>
            </w:pPr>
            <w:r w:rsidRPr="00D14384">
              <w:rPr>
                <w:b/>
                <w:sz w:val="20"/>
                <w:szCs w:val="16"/>
              </w:rPr>
              <w:t>0.01</w:t>
            </w:r>
          </w:p>
        </w:tc>
        <w:tc>
          <w:tcPr>
            <w:tcW w:w="425" w:type="dxa"/>
            <w:tcBorders>
              <w:top w:val="single" w:sz="4" w:space="0" w:color="auto"/>
              <w:left w:val="nil"/>
              <w:bottom w:val="single" w:sz="4" w:space="0" w:color="auto"/>
              <w:right w:val="nil"/>
            </w:tcBorders>
            <w:shd w:val="clear" w:color="auto" w:fill="auto"/>
            <w:noWrap/>
            <w:vAlign w:val="center"/>
            <w:hideMark/>
          </w:tcPr>
          <w:p w14:paraId="37881AD2" w14:textId="77777777" w:rsidR="002D558C" w:rsidRPr="00D14384" w:rsidRDefault="002D558C" w:rsidP="009427CF">
            <w:pPr>
              <w:keepLines/>
              <w:snapToGrid w:val="0"/>
              <w:spacing w:line="240" w:lineRule="auto"/>
              <w:jc w:val="center"/>
              <w:rPr>
                <w:b/>
                <w:sz w:val="20"/>
                <w:szCs w:val="16"/>
              </w:rPr>
            </w:pPr>
            <w:r w:rsidRPr="00D14384">
              <w:rPr>
                <w:b/>
                <w:sz w:val="20"/>
                <w:szCs w:val="16"/>
              </w:rPr>
              <w:t>0.01</w:t>
            </w:r>
          </w:p>
        </w:tc>
        <w:tc>
          <w:tcPr>
            <w:tcW w:w="426" w:type="dxa"/>
            <w:tcBorders>
              <w:top w:val="single" w:sz="4" w:space="0" w:color="auto"/>
              <w:left w:val="nil"/>
              <w:bottom w:val="single" w:sz="4" w:space="0" w:color="auto"/>
              <w:right w:val="nil"/>
            </w:tcBorders>
            <w:shd w:val="clear" w:color="auto" w:fill="auto"/>
            <w:noWrap/>
            <w:vAlign w:val="center"/>
            <w:hideMark/>
          </w:tcPr>
          <w:p w14:paraId="7B79C061" w14:textId="77777777" w:rsidR="002D558C" w:rsidRPr="00D14384" w:rsidRDefault="002D558C" w:rsidP="009427CF">
            <w:pPr>
              <w:keepLines/>
              <w:snapToGrid w:val="0"/>
              <w:spacing w:line="240" w:lineRule="auto"/>
              <w:jc w:val="center"/>
              <w:rPr>
                <w:b/>
                <w:sz w:val="20"/>
                <w:szCs w:val="16"/>
              </w:rPr>
            </w:pPr>
            <w:r w:rsidRPr="00D14384">
              <w:rPr>
                <w:b/>
                <w:sz w:val="20"/>
                <w:szCs w:val="16"/>
              </w:rPr>
              <w:t>0.1</w:t>
            </w:r>
          </w:p>
        </w:tc>
        <w:tc>
          <w:tcPr>
            <w:tcW w:w="425" w:type="dxa"/>
            <w:tcBorders>
              <w:top w:val="single" w:sz="4" w:space="0" w:color="auto"/>
              <w:left w:val="nil"/>
              <w:bottom w:val="single" w:sz="4" w:space="0" w:color="auto"/>
              <w:right w:val="nil"/>
            </w:tcBorders>
            <w:shd w:val="clear" w:color="auto" w:fill="auto"/>
            <w:noWrap/>
            <w:vAlign w:val="center"/>
            <w:hideMark/>
          </w:tcPr>
          <w:p w14:paraId="08D63E21" w14:textId="77777777" w:rsidR="002D558C" w:rsidRPr="00D14384" w:rsidRDefault="002D558C" w:rsidP="009427CF">
            <w:pPr>
              <w:keepLines/>
              <w:snapToGrid w:val="0"/>
              <w:spacing w:line="240" w:lineRule="auto"/>
              <w:jc w:val="center"/>
              <w:rPr>
                <w:b/>
                <w:sz w:val="20"/>
                <w:szCs w:val="16"/>
              </w:rPr>
            </w:pPr>
            <w:r w:rsidRPr="00D14384">
              <w:rPr>
                <w:b/>
                <w:sz w:val="20"/>
                <w:szCs w:val="16"/>
              </w:rPr>
              <w:t>0.1</w:t>
            </w:r>
          </w:p>
        </w:tc>
        <w:tc>
          <w:tcPr>
            <w:tcW w:w="425" w:type="dxa"/>
            <w:tcBorders>
              <w:top w:val="single" w:sz="4" w:space="0" w:color="auto"/>
              <w:left w:val="nil"/>
              <w:bottom w:val="single" w:sz="4" w:space="0" w:color="auto"/>
              <w:right w:val="nil"/>
            </w:tcBorders>
            <w:shd w:val="clear" w:color="auto" w:fill="auto"/>
            <w:noWrap/>
            <w:vAlign w:val="center"/>
            <w:hideMark/>
          </w:tcPr>
          <w:p w14:paraId="1E1A3941" w14:textId="77777777" w:rsidR="002D558C" w:rsidRPr="00D14384" w:rsidRDefault="002D558C" w:rsidP="009427CF">
            <w:pPr>
              <w:keepLines/>
              <w:snapToGrid w:val="0"/>
              <w:spacing w:line="240" w:lineRule="auto"/>
              <w:jc w:val="center"/>
              <w:rPr>
                <w:b/>
                <w:sz w:val="20"/>
                <w:szCs w:val="16"/>
              </w:rPr>
            </w:pPr>
            <w:r w:rsidRPr="00D14384">
              <w:rPr>
                <w:b/>
                <w:sz w:val="20"/>
                <w:szCs w:val="16"/>
              </w:rPr>
              <w:t>0.1</w:t>
            </w:r>
          </w:p>
        </w:tc>
        <w:tc>
          <w:tcPr>
            <w:tcW w:w="425" w:type="dxa"/>
            <w:tcBorders>
              <w:top w:val="single" w:sz="4" w:space="0" w:color="auto"/>
              <w:left w:val="nil"/>
              <w:bottom w:val="single" w:sz="4" w:space="0" w:color="auto"/>
              <w:right w:val="nil"/>
            </w:tcBorders>
            <w:shd w:val="clear" w:color="auto" w:fill="auto"/>
            <w:noWrap/>
            <w:vAlign w:val="center"/>
            <w:hideMark/>
          </w:tcPr>
          <w:p w14:paraId="6F132E1B" w14:textId="77777777" w:rsidR="002D558C" w:rsidRPr="00D14384" w:rsidRDefault="002D558C" w:rsidP="009427CF">
            <w:pPr>
              <w:keepLines/>
              <w:snapToGrid w:val="0"/>
              <w:spacing w:line="240" w:lineRule="auto"/>
              <w:jc w:val="center"/>
              <w:rPr>
                <w:b/>
                <w:sz w:val="20"/>
                <w:szCs w:val="16"/>
              </w:rPr>
            </w:pPr>
            <w:r w:rsidRPr="00D14384">
              <w:rPr>
                <w:b/>
                <w:sz w:val="20"/>
                <w:szCs w:val="16"/>
              </w:rPr>
              <w:t>1</w:t>
            </w:r>
          </w:p>
        </w:tc>
        <w:tc>
          <w:tcPr>
            <w:tcW w:w="429" w:type="dxa"/>
            <w:tcBorders>
              <w:top w:val="single" w:sz="4" w:space="0" w:color="auto"/>
              <w:left w:val="nil"/>
              <w:bottom w:val="single" w:sz="4" w:space="0" w:color="auto"/>
              <w:right w:val="nil"/>
            </w:tcBorders>
            <w:shd w:val="clear" w:color="auto" w:fill="auto"/>
            <w:noWrap/>
            <w:vAlign w:val="center"/>
            <w:hideMark/>
          </w:tcPr>
          <w:p w14:paraId="4DDCA430" w14:textId="77777777" w:rsidR="002D558C" w:rsidRPr="00D14384" w:rsidRDefault="002D558C" w:rsidP="009427CF">
            <w:pPr>
              <w:keepLines/>
              <w:snapToGrid w:val="0"/>
              <w:spacing w:line="240" w:lineRule="auto"/>
              <w:jc w:val="center"/>
              <w:rPr>
                <w:b/>
                <w:sz w:val="20"/>
                <w:szCs w:val="16"/>
              </w:rPr>
            </w:pPr>
            <w:r w:rsidRPr="00D14384">
              <w:rPr>
                <w:b/>
                <w:sz w:val="20"/>
                <w:szCs w:val="16"/>
              </w:rPr>
              <w:t>1</w:t>
            </w:r>
          </w:p>
        </w:tc>
        <w:tc>
          <w:tcPr>
            <w:tcW w:w="428" w:type="dxa"/>
            <w:tcBorders>
              <w:top w:val="single" w:sz="4" w:space="0" w:color="auto"/>
              <w:left w:val="nil"/>
              <w:bottom w:val="single" w:sz="4" w:space="0" w:color="auto"/>
              <w:right w:val="nil"/>
            </w:tcBorders>
            <w:shd w:val="clear" w:color="auto" w:fill="auto"/>
            <w:noWrap/>
            <w:vAlign w:val="center"/>
            <w:hideMark/>
          </w:tcPr>
          <w:p w14:paraId="2493B24F" w14:textId="77777777" w:rsidR="002D558C" w:rsidRPr="00D14384" w:rsidRDefault="002D558C" w:rsidP="009427CF">
            <w:pPr>
              <w:keepLines/>
              <w:snapToGrid w:val="0"/>
              <w:spacing w:line="240" w:lineRule="auto"/>
              <w:jc w:val="center"/>
              <w:rPr>
                <w:b/>
                <w:sz w:val="20"/>
                <w:szCs w:val="16"/>
              </w:rPr>
            </w:pPr>
            <w:r w:rsidRPr="00D14384">
              <w:rPr>
                <w:b/>
                <w:sz w:val="20"/>
                <w:szCs w:val="16"/>
              </w:rPr>
              <w:t>1</w:t>
            </w:r>
          </w:p>
        </w:tc>
        <w:tc>
          <w:tcPr>
            <w:tcW w:w="428" w:type="dxa"/>
            <w:tcBorders>
              <w:top w:val="single" w:sz="4" w:space="0" w:color="auto"/>
              <w:left w:val="nil"/>
              <w:bottom w:val="single" w:sz="4" w:space="0" w:color="auto"/>
              <w:right w:val="nil"/>
            </w:tcBorders>
            <w:shd w:val="clear" w:color="auto" w:fill="auto"/>
            <w:noWrap/>
            <w:vAlign w:val="center"/>
            <w:hideMark/>
          </w:tcPr>
          <w:p w14:paraId="512C579E" w14:textId="77777777" w:rsidR="002D558C" w:rsidRPr="00D14384" w:rsidRDefault="002D558C" w:rsidP="009427CF">
            <w:pPr>
              <w:keepLines/>
              <w:snapToGrid w:val="0"/>
              <w:spacing w:line="240" w:lineRule="auto"/>
              <w:jc w:val="center"/>
              <w:rPr>
                <w:b/>
                <w:sz w:val="20"/>
                <w:szCs w:val="16"/>
              </w:rPr>
            </w:pPr>
            <w:r w:rsidRPr="00D14384">
              <w:rPr>
                <w:b/>
                <w:sz w:val="20"/>
                <w:szCs w:val="16"/>
              </w:rPr>
              <w:t>1</w:t>
            </w:r>
          </w:p>
        </w:tc>
        <w:tc>
          <w:tcPr>
            <w:tcW w:w="428" w:type="dxa"/>
            <w:tcBorders>
              <w:top w:val="single" w:sz="4" w:space="0" w:color="auto"/>
              <w:left w:val="nil"/>
              <w:bottom w:val="single" w:sz="4" w:space="0" w:color="auto"/>
              <w:right w:val="nil"/>
            </w:tcBorders>
            <w:shd w:val="clear" w:color="auto" w:fill="auto"/>
            <w:noWrap/>
            <w:vAlign w:val="center"/>
            <w:hideMark/>
          </w:tcPr>
          <w:p w14:paraId="2D2A16DA" w14:textId="77777777" w:rsidR="002D558C" w:rsidRPr="00D14384" w:rsidRDefault="002D558C" w:rsidP="009427CF">
            <w:pPr>
              <w:keepLines/>
              <w:snapToGrid w:val="0"/>
              <w:spacing w:line="240" w:lineRule="auto"/>
              <w:jc w:val="center"/>
              <w:rPr>
                <w:b/>
                <w:sz w:val="20"/>
                <w:szCs w:val="16"/>
              </w:rPr>
            </w:pPr>
            <w:r w:rsidRPr="00D14384">
              <w:rPr>
                <w:b/>
                <w:sz w:val="20"/>
                <w:szCs w:val="16"/>
              </w:rPr>
              <w:t>10</w:t>
            </w:r>
          </w:p>
        </w:tc>
        <w:tc>
          <w:tcPr>
            <w:tcW w:w="429" w:type="dxa"/>
            <w:tcBorders>
              <w:top w:val="single" w:sz="4" w:space="0" w:color="auto"/>
              <w:left w:val="nil"/>
              <w:bottom w:val="single" w:sz="4" w:space="0" w:color="auto"/>
              <w:right w:val="nil"/>
            </w:tcBorders>
            <w:shd w:val="clear" w:color="auto" w:fill="auto"/>
            <w:noWrap/>
            <w:vAlign w:val="center"/>
            <w:hideMark/>
          </w:tcPr>
          <w:p w14:paraId="42BB637D" w14:textId="77777777" w:rsidR="002D558C" w:rsidRPr="00D14384" w:rsidRDefault="002D558C" w:rsidP="009427CF">
            <w:pPr>
              <w:keepLines/>
              <w:snapToGrid w:val="0"/>
              <w:spacing w:line="240" w:lineRule="auto"/>
              <w:jc w:val="center"/>
              <w:rPr>
                <w:b/>
                <w:sz w:val="20"/>
                <w:szCs w:val="16"/>
              </w:rPr>
            </w:pPr>
            <w:r w:rsidRPr="00D14384">
              <w:rPr>
                <w:b/>
                <w:sz w:val="20"/>
                <w:szCs w:val="16"/>
              </w:rPr>
              <w:t>10</w:t>
            </w:r>
          </w:p>
        </w:tc>
        <w:tc>
          <w:tcPr>
            <w:tcW w:w="428" w:type="dxa"/>
            <w:tcBorders>
              <w:top w:val="single" w:sz="4" w:space="0" w:color="auto"/>
              <w:left w:val="nil"/>
              <w:bottom w:val="single" w:sz="4" w:space="0" w:color="auto"/>
              <w:right w:val="nil"/>
            </w:tcBorders>
            <w:shd w:val="clear" w:color="auto" w:fill="auto"/>
            <w:noWrap/>
            <w:vAlign w:val="center"/>
            <w:hideMark/>
          </w:tcPr>
          <w:p w14:paraId="29E49864" w14:textId="77777777" w:rsidR="002D558C" w:rsidRPr="00D14384" w:rsidRDefault="002D558C" w:rsidP="009427CF">
            <w:pPr>
              <w:keepLines/>
              <w:snapToGrid w:val="0"/>
              <w:spacing w:line="240" w:lineRule="auto"/>
              <w:jc w:val="center"/>
              <w:rPr>
                <w:b/>
                <w:sz w:val="20"/>
                <w:szCs w:val="16"/>
              </w:rPr>
            </w:pPr>
            <w:r w:rsidRPr="00D14384">
              <w:rPr>
                <w:b/>
                <w:sz w:val="20"/>
                <w:szCs w:val="16"/>
              </w:rPr>
              <w:t>25</w:t>
            </w:r>
          </w:p>
        </w:tc>
        <w:tc>
          <w:tcPr>
            <w:tcW w:w="428" w:type="dxa"/>
            <w:tcBorders>
              <w:top w:val="single" w:sz="4" w:space="0" w:color="auto"/>
              <w:left w:val="nil"/>
              <w:bottom w:val="single" w:sz="4" w:space="0" w:color="auto"/>
              <w:right w:val="nil"/>
            </w:tcBorders>
            <w:shd w:val="clear" w:color="auto" w:fill="auto"/>
            <w:noWrap/>
            <w:vAlign w:val="center"/>
            <w:hideMark/>
          </w:tcPr>
          <w:p w14:paraId="41B6EFF9" w14:textId="77777777" w:rsidR="002D558C" w:rsidRPr="00D14384" w:rsidRDefault="002D558C" w:rsidP="009427CF">
            <w:pPr>
              <w:keepLines/>
              <w:snapToGrid w:val="0"/>
              <w:spacing w:line="240" w:lineRule="auto"/>
              <w:jc w:val="center"/>
              <w:rPr>
                <w:b/>
                <w:sz w:val="20"/>
                <w:szCs w:val="16"/>
              </w:rPr>
            </w:pPr>
            <w:r w:rsidRPr="00D14384">
              <w:rPr>
                <w:b/>
                <w:sz w:val="20"/>
                <w:szCs w:val="16"/>
              </w:rPr>
              <w:t>25</w:t>
            </w:r>
          </w:p>
        </w:tc>
        <w:tc>
          <w:tcPr>
            <w:tcW w:w="425" w:type="dxa"/>
            <w:tcBorders>
              <w:top w:val="single" w:sz="4" w:space="0" w:color="auto"/>
              <w:left w:val="nil"/>
              <w:bottom w:val="single" w:sz="4" w:space="0" w:color="auto"/>
              <w:right w:val="nil"/>
            </w:tcBorders>
            <w:shd w:val="clear" w:color="auto" w:fill="auto"/>
            <w:noWrap/>
            <w:vAlign w:val="center"/>
            <w:hideMark/>
          </w:tcPr>
          <w:p w14:paraId="2220ED6A" w14:textId="77777777" w:rsidR="002D558C" w:rsidRPr="00D14384" w:rsidRDefault="002D558C" w:rsidP="009427CF">
            <w:pPr>
              <w:keepLines/>
              <w:snapToGrid w:val="0"/>
              <w:spacing w:line="240" w:lineRule="auto"/>
              <w:jc w:val="center"/>
              <w:rPr>
                <w:b/>
                <w:sz w:val="20"/>
                <w:szCs w:val="16"/>
              </w:rPr>
            </w:pPr>
            <w:r w:rsidRPr="00D14384">
              <w:rPr>
                <w:b/>
                <w:sz w:val="20"/>
                <w:szCs w:val="16"/>
              </w:rPr>
              <w:t>25</w:t>
            </w:r>
          </w:p>
        </w:tc>
        <w:tc>
          <w:tcPr>
            <w:tcW w:w="429" w:type="dxa"/>
            <w:tcBorders>
              <w:top w:val="single" w:sz="4" w:space="0" w:color="auto"/>
              <w:left w:val="nil"/>
              <w:bottom w:val="single" w:sz="4" w:space="0" w:color="auto"/>
              <w:right w:val="nil"/>
            </w:tcBorders>
            <w:shd w:val="clear" w:color="auto" w:fill="auto"/>
            <w:noWrap/>
            <w:vAlign w:val="center"/>
            <w:hideMark/>
          </w:tcPr>
          <w:p w14:paraId="6440B9B2" w14:textId="77777777" w:rsidR="002D558C" w:rsidRPr="00D14384" w:rsidRDefault="002D558C" w:rsidP="009427CF">
            <w:pPr>
              <w:keepLines/>
              <w:snapToGrid w:val="0"/>
              <w:spacing w:line="240" w:lineRule="auto"/>
              <w:jc w:val="center"/>
              <w:rPr>
                <w:b/>
                <w:sz w:val="20"/>
                <w:szCs w:val="16"/>
              </w:rPr>
            </w:pPr>
            <w:r w:rsidRPr="00D14384">
              <w:rPr>
                <w:b/>
                <w:sz w:val="20"/>
                <w:szCs w:val="16"/>
              </w:rPr>
              <w:t>25</w:t>
            </w:r>
          </w:p>
        </w:tc>
        <w:tc>
          <w:tcPr>
            <w:tcW w:w="425" w:type="dxa"/>
            <w:tcBorders>
              <w:top w:val="single" w:sz="4" w:space="0" w:color="auto"/>
              <w:left w:val="nil"/>
              <w:bottom w:val="single" w:sz="4" w:space="0" w:color="auto"/>
              <w:right w:val="nil"/>
            </w:tcBorders>
            <w:shd w:val="clear" w:color="auto" w:fill="auto"/>
            <w:noWrap/>
            <w:vAlign w:val="center"/>
            <w:hideMark/>
          </w:tcPr>
          <w:p w14:paraId="2220D8BA" w14:textId="77777777" w:rsidR="002D558C" w:rsidRPr="00D14384" w:rsidRDefault="002D558C" w:rsidP="009427CF">
            <w:pPr>
              <w:keepLines/>
              <w:snapToGrid w:val="0"/>
              <w:spacing w:line="240" w:lineRule="auto"/>
              <w:jc w:val="center"/>
              <w:rPr>
                <w:b/>
                <w:sz w:val="20"/>
                <w:szCs w:val="16"/>
              </w:rPr>
            </w:pPr>
            <w:r w:rsidRPr="00D14384">
              <w:rPr>
                <w:b/>
                <w:sz w:val="20"/>
                <w:szCs w:val="16"/>
              </w:rPr>
              <w:t>50</w:t>
            </w:r>
          </w:p>
        </w:tc>
        <w:tc>
          <w:tcPr>
            <w:tcW w:w="425" w:type="dxa"/>
            <w:tcBorders>
              <w:top w:val="single" w:sz="4" w:space="0" w:color="auto"/>
              <w:left w:val="nil"/>
              <w:bottom w:val="single" w:sz="4" w:space="0" w:color="auto"/>
              <w:right w:val="nil"/>
            </w:tcBorders>
            <w:shd w:val="clear" w:color="auto" w:fill="auto"/>
            <w:noWrap/>
            <w:vAlign w:val="center"/>
            <w:hideMark/>
          </w:tcPr>
          <w:p w14:paraId="61272319" w14:textId="77777777" w:rsidR="002D558C" w:rsidRPr="00D14384" w:rsidRDefault="002D558C" w:rsidP="009427CF">
            <w:pPr>
              <w:keepLines/>
              <w:snapToGrid w:val="0"/>
              <w:spacing w:line="240" w:lineRule="auto"/>
              <w:jc w:val="center"/>
              <w:rPr>
                <w:b/>
                <w:sz w:val="20"/>
                <w:szCs w:val="16"/>
              </w:rPr>
            </w:pPr>
            <w:r w:rsidRPr="00D14384">
              <w:rPr>
                <w:b/>
                <w:sz w:val="20"/>
                <w:szCs w:val="16"/>
              </w:rPr>
              <w:t>50</w:t>
            </w:r>
          </w:p>
        </w:tc>
      </w:tr>
      <w:tr w:rsidR="002D558C" w:rsidRPr="00D14384" w14:paraId="11BDA538" w14:textId="77777777" w:rsidTr="009427CF">
        <w:trPr>
          <w:trHeight w:val="377"/>
        </w:trPr>
        <w:tc>
          <w:tcPr>
            <w:tcW w:w="1847" w:type="dxa"/>
            <w:gridSpan w:val="2"/>
            <w:tcBorders>
              <w:top w:val="single" w:sz="4" w:space="0" w:color="auto"/>
              <w:left w:val="nil"/>
              <w:bottom w:val="nil"/>
              <w:right w:val="nil"/>
            </w:tcBorders>
            <w:shd w:val="clear" w:color="auto" w:fill="auto"/>
            <w:noWrap/>
            <w:vAlign w:val="center"/>
          </w:tcPr>
          <w:p w14:paraId="30E2DC33" w14:textId="77777777" w:rsidR="002D558C" w:rsidRPr="00D14384" w:rsidRDefault="002D558C" w:rsidP="009427CF">
            <w:pPr>
              <w:keepLines/>
              <w:snapToGrid w:val="0"/>
              <w:spacing w:line="240" w:lineRule="auto"/>
              <w:rPr>
                <w:color w:val="808080"/>
                <w:sz w:val="20"/>
                <w:szCs w:val="16"/>
              </w:rPr>
            </w:pPr>
            <w:r w:rsidRPr="00D14384">
              <w:rPr>
                <w:b/>
                <w:sz w:val="20"/>
                <w:szCs w:val="18"/>
              </w:rPr>
              <w:t>COD removal (%)</w:t>
            </w:r>
          </w:p>
        </w:tc>
        <w:tc>
          <w:tcPr>
            <w:tcW w:w="425" w:type="dxa"/>
            <w:tcBorders>
              <w:top w:val="single" w:sz="4" w:space="0" w:color="auto"/>
              <w:left w:val="nil"/>
              <w:bottom w:val="nil"/>
              <w:right w:val="nil"/>
            </w:tcBorders>
            <w:shd w:val="clear" w:color="auto" w:fill="auto"/>
            <w:noWrap/>
            <w:vAlign w:val="center"/>
          </w:tcPr>
          <w:p w14:paraId="0A2663ED" w14:textId="77777777" w:rsidR="002D558C" w:rsidRPr="00D14384" w:rsidRDefault="002D558C" w:rsidP="009427CF">
            <w:pPr>
              <w:keepLines/>
              <w:snapToGrid w:val="0"/>
              <w:spacing w:line="240" w:lineRule="auto"/>
              <w:jc w:val="center"/>
              <w:rPr>
                <w:color w:val="808080"/>
                <w:sz w:val="20"/>
                <w:szCs w:val="16"/>
              </w:rPr>
            </w:pPr>
          </w:p>
        </w:tc>
        <w:tc>
          <w:tcPr>
            <w:tcW w:w="426" w:type="dxa"/>
            <w:tcBorders>
              <w:top w:val="single" w:sz="4" w:space="0" w:color="auto"/>
              <w:left w:val="nil"/>
              <w:bottom w:val="nil"/>
              <w:right w:val="nil"/>
            </w:tcBorders>
            <w:shd w:val="clear" w:color="auto" w:fill="auto"/>
            <w:noWrap/>
            <w:vAlign w:val="center"/>
          </w:tcPr>
          <w:p w14:paraId="7DD434F0" w14:textId="77777777" w:rsidR="002D558C" w:rsidRPr="00D14384" w:rsidRDefault="002D558C" w:rsidP="009427CF">
            <w:pPr>
              <w:keepLines/>
              <w:snapToGrid w:val="0"/>
              <w:spacing w:line="240" w:lineRule="auto"/>
              <w:jc w:val="center"/>
              <w:rPr>
                <w:sz w:val="20"/>
                <w:szCs w:val="16"/>
              </w:rPr>
            </w:pPr>
          </w:p>
        </w:tc>
        <w:tc>
          <w:tcPr>
            <w:tcW w:w="425" w:type="dxa"/>
            <w:tcBorders>
              <w:top w:val="single" w:sz="4" w:space="0" w:color="auto"/>
              <w:left w:val="nil"/>
              <w:bottom w:val="nil"/>
              <w:right w:val="nil"/>
            </w:tcBorders>
            <w:shd w:val="clear" w:color="auto" w:fill="auto"/>
            <w:noWrap/>
            <w:vAlign w:val="center"/>
          </w:tcPr>
          <w:p w14:paraId="50FFE415" w14:textId="77777777" w:rsidR="002D558C" w:rsidRPr="00D14384" w:rsidRDefault="002D558C" w:rsidP="009427CF">
            <w:pPr>
              <w:keepLines/>
              <w:snapToGrid w:val="0"/>
              <w:spacing w:line="240" w:lineRule="auto"/>
              <w:jc w:val="center"/>
              <w:rPr>
                <w:color w:val="808080"/>
                <w:sz w:val="20"/>
                <w:szCs w:val="16"/>
              </w:rPr>
            </w:pPr>
          </w:p>
        </w:tc>
        <w:tc>
          <w:tcPr>
            <w:tcW w:w="425" w:type="dxa"/>
            <w:tcBorders>
              <w:top w:val="single" w:sz="4" w:space="0" w:color="auto"/>
              <w:left w:val="nil"/>
              <w:bottom w:val="nil"/>
              <w:right w:val="nil"/>
            </w:tcBorders>
            <w:shd w:val="clear" w:color="auto" w:fill="auto"/>
            <w:noWrap/>
            <w:vAlign w:val="center"/>
          </w:tcPr>
          <w:p w14:paraId="03DDCE14" w14:textId="77777777" w:rsidR="002D558C" w:rsidRPr="00D14384" w:rsidRDefault="002D558C" w:rsidP="009427CF">
            <w:pPr>
              <w:keepLines/>
              <w:snapToGrid w:val="0"/>
              <w:spacing w:line="240" w:lineRule="auto"/>
              <w:jc w:val="center"/>
              <w:rPr>
                <w:color w:val="808080"/>
                <w:sz w:val="20"/>
                <w:szCs w:val="16"/>
              </w:rPr>
            </w:pPr>
          </w:p>
        </w:tc>
        <w:tc>
          <w:tcPr>
            <w:tcW w:w="425" w:type="dxa"/>
            <w:tcBorders>
              <w:top w:val="single" w:sz="4" w:space="0" w:color="auto"/>
              <w:left w:val="nil"/>
              <w:bottom w:val="nil"/>
              <w:right w:val="nil"/>
            </w:tcBorders>
            <w:shd w:val="clear" w:color="auto" w:fill="auto"/>
            <w:noWrap/>
            <w:vAlign w:val="center"/>
          </w:tcPr>
          <w:p w14:paraId="6F377D93" w14:textId="77777777" w:rsidR="002D558C" w:rsidRPr="00D14384" w:rsidRDefault="002D558C" w:rsidP="009427CF">
            <w:pPr>
              <w:keepLines/>
              <w:snapToGrid w:val="0"/>
              <w:spacing w:line="240" w:lineRule="auto"/>
              <w:jc w:val="center"/>
              <w:rPr>
                <w:sz w:val="20"/>
                <w:szCs w:val="16"/>
              </w:rPr>
            </w:pPr>
          </w:p>
        </w:tc>
        <w:tc>
          <w:tcPr>
            <w:tcW w:w="429" w:type="dxa"/>
            <w:tcBorders>
              <w:top w:val="single" w:sz="4" w:space="0" w:color="auto"/>
              <w:left w:val="nil"/>
              <w:bottom w:val="nil"/>
              <w:right w:val="nil"/>
            </w:tcBorders>
            <w:shd w:val="clear" w:color="auto" w:fill="auto"/>
            <w:noWrap/>
            <w:vAlign w:val="center"/>
          </w:tcPr>
          <w:p w14:paraId="3ED965F7" w14:textId="77777777" w:rsidR="002D558C" w:rsidRPr="00D14384" w:rsidRDefault="002D558C" w:rsidP="009427CF">
            <w:pPr>
              <w:keepLines/>
              <w:snapToGrid w:val="0"/>
              <w:spacing w:line="240" w:lineRule="auto"/>
              <w:jc w:val="center"/>
              <w:rPr>
                <w:sz w:val="20"/>
                <w:szCs w:val="16"/>
              </w:rPr>
            </w:pPr>
          </w:p>
        </w:tc>
        <w:tc>
          <w:tcPr>
            <w:tcW w:w="428" w:type="dxa"/>
            <w:tcBorders>
              <w:top w:val="single" w:sz="4" w:space="0" w:color="auto"/>
              <w:left w:val="nil"/>
              <w:bottom w:val="nil"/>
              <w:right w:val="nil"/>
            </w:tcBorders>
            <w:shd w:val="clear" w:color="auto" w:fill="auto"/>
            <w:noWrap/>
            <w:vAlign w:val="center"/>
          </w:tcPr>
          <w:p w14:paraId="35298E6C" w14:textId="77777777" w:rsidR="002D558C" w:rsidRPr="00D14384" w:rsidRDefault="002D558C" w:rsidP="009427CF">
            <w:pPr>
              <w:keepLines/>
              <w:snapToGrid w:val="0"/>
              <w:spacing w:line="240" w:lineRule="auto"/>
              <w:jc w:val="center"/>
              <w:rPr>
                <w:sz w:val="20"/>
                <w:szCs w:val="16"/>
              </w:rPr>
            </w:pPr>
          </w:p>
        </w:tc>
        <w:tc>
          <w:tcPr>
            <w:tcW w:w="428" w:type="dxa"/>
            <w:tcBorders>
              <w:top w:val="single" w:sz="4" w:space="0" w:color="auto"/>
              <w:left w:val="nil"/>
              <w:bottom w:val="nil"/>
              <w:right w:val="nil"/>
            </w:tcBorders>
            <w:shd w:val="clear" w:color="auto" w:fill="auto"/>
            <w:noWrap/>
            <w:vAlign w:val="center"/>
          </w:tcPr>
          <w:p w14:paraId="164988F9" w14:textId="77777777" w:rsidR="002D558C" w:rsidRPr="00D14384" w:rsidRDefault="002D558C" w:rsidP="009427CF">
            <w:pPr>
              <w:keepLines/>
              <w:snapToGrid w:val="0"/>
              <w:spacing w:line="240" w:lineRule="auto"/>
              <w:jc w:val="center"/>
              <w:rPr>
                <w:color w:val="808080"/>
                <w:sz w:val="20"/>
                <w:szCs w:val="16"/>
              </w:rPr>
            </w:pPr>
          </w:p>
        </w:tc>
        <w:tc>
          <w:tcPr>
            <w:tcW w:w="428" w:type="dxa"/>
            <w:tcBorders>
              <w:top w:val="single" w:sz="4" w:space="0" w:color="auto"/>
              <w:left w:val="nil"/>
              <w:bottom w:val="nil"/>
              <w:right w:val="nil"/>
            </w:tcBorders>
            <w:shd w:val="clear" w:color="auto" w:fill="auto"/>
            <w:noWrap/>
            <w:vAlign w:val="center"/>
          </w:tcPr>
          <w:p w14:paraId="1E1873BA" w14:textId="77777777" w:rsidR="002D558C" w:rsidRPr="00D14384" w:rsidRDefault="002D558C" w:rsidP="009427CF">
            <w:pPr>
              <w:keepLines/>
              <w:snapToGrid w:val="0"/>
              <w:spacing w:line="240" w:lineRule="auto"/>
              <w:jc w:val="center"/>
              <w:rPr>
                <w:sz w:val="20"/>
                <w:szCs w:val="16"/>
              </w:rPr>
            </w:pPr>
          </w:p>
        </w:tc>
        <w:tc>
          <w:tcPr>
            <w:tcW w:w="429" w:type="dxa"/>
            <w:tcBorders>
              <w:top w:val="single" w:sz="4" w:space="0" w:color="auto"/>
              <w:left w:val="nil"/>
              <w:bottom w:val="nil"/>
              <w:right w:val="nil"/>
            </w:tcBorders>
            <w:shd w:val="clear" w:color="auto" w:fill="auto"/>
            <w:noWrap/>
            <w:vAlign w:val="center"/>
          </w:tcPr>
          <w:p w14:paraId="2B1C740C" w14:textId="77777777" w:rsidR="002D558C" w:rsidRPr="00D14384" w:rsidRDefault="002D558C" w:rsidP="009427CF">
            <w:pPr>
              <w:keepLines/>
              <w:snapToGrid w:val="0"/>
              <w:spacing w:line="240" w:lineRule="auto"/>
              <w:jc w:val="center"/>
              <w:rPr>
                <w:sz w:val="20"/>
                <w:szCs w:val="16"/>
              </w:rPr>
            </w:pPr>
          </w:p>
        </w:tc>
        <w:tc>
          <w:tcPr>
            <w:tcW w:w="428" w:type="dxa"/>
            <w:tcBorders>
              <w:top w:val="single" w:sz="4" w:space="0" w:color="auto"/>
              <w:left w:val="nil"/>
              <w:bottom w:val="nil"/>
              <w:right w:val="nil"/>
            </w:tcBorders>
            <w:shd w:val="clear" w:color="auto" w:fill="auto"/>
            <w:noWrap/>
            <w:vAlign w:val="center"/>
          </w:tcPr>
          <w:p w14:paraId="7D9CC327" w14:textId="77777777" w:rsidR="002D558C" w:rsidRPr="00D14384" w:rsidRDefault="002D558C" w:rsidP="009427CF">
            <w:pPr>
              <w:keepLines/>
              <w:snapToGrid w:val="0"/>
              <w:spacing w:line="240" w:lineRule="auto"/>
              <w:jc w:val="center"/>
              <w:rPr>
                <w:sz w:val="20"/>
                <w:szCs w:val="16"/>
              </w:rPr>
            </w:pPr>
          </w:p>
        </w:tc>
        <w:tc>
          <w:tcPr>
            <w:tcW w:w="428" w:type="dxa"/>
            <w:tcBorders>
              <w:top w:val="single" w:sz="4" w:space="0" w:color="auto"/>
              <w:left w:val="nil"/>
              <w:bottom w:val="nil"/>
              <w:right w:val="nil"/>
            </w:tcBorders>
            <w:shd w:val="clear" w:color="auto" w:fill="auto"/>
            <w:noWrap/>
            <w:vAlign w:val="center"/>
          </w:tcPr>
          <w:p w14:paraId="01F7A45C" w14:textId="77777777" w:rsidR="002D558C" w:rsidRPr="00D14384" w:rsidRDefault="002D558C" w:rsidP="009427CF">
            <w:pPr>
              <w:keepLines/>
              <w:snapToGrid w:val="0"/>
              <w:spacing w:line="240" w:lineRule="auto"/>
              <w:jc w:val="center"/>
              <w:rPr>
                <w:sz w:val="20"/>
                <w:szCs w:val="16"/>
              </w:rPr>
            </w:pPr>
          </w:p>
        </w:tc>
        <w:tc>
          <w:tcPr>
            <w:tcW w:w="425" w:type="dxa"/>
            <w:tcBorders>
              <w:top w:val="single" w:sz="4" w:space="0" w:color="auto"/>
              <w:left w:val="nil"/>
              <w:bottom w:val="nil"/>
              <w:right w:val="nil"/>
            </w:tcBorders>
            <w:shd w:val="clear" w:color="auto" w:fill="auto"/>
            <w:noWrap/>
            <w:vAlign w:val="center"/>
          </w:tcPr>
          <w:p w14:paraId="14691433" w14:textId="77777777" w:rsidR="002D558C" w:rsidRPr="00D14384" w:rsidRDefault="002D558C" w:rsidP="009427CF">
            <w:pPr>
              <w:keepLines/>
              <w:snapToGrid w:val="0"/>
              <w:spacing w:line="240" w:lineRule="auto"/>
              <w:jc w:val="center"/>
              <w:rPr>
                <w:sz w:val="20"/>
                <w:szCs w:val="16"/>
              </w:rPr>
            </w:pPr>
          </w:p>
        </w:tc>
        <w:tc>
          <w:tcPr>
            <w:tcW w:w="429" w:type="dxa"/>
            <w:tcBorders>
              <w:top w:val="single" w:sz="4" w:space="0" w:color="auto"/>
              <w:left w:val="nil"/>
              <w:bottom w:val="nil"/>
              <w:right w:val="nil"/>
            </w:tcBorders>
            <w:shd w:val="clear" w:color="auto" w:fill="auto"/>
            <w:noWrap/>
            <w:vAlign w:val="center"/>
          </w:tcPr>
          <w:p w14:paraId="1E38938A" w14:textId="77777777" w:rsidR="002D558C" w:rsidRPr="00D14384" w:rsidRDefault="002D558C" w:rsidP="009427CF">
            <w:pPr>
              <w:keepLines/>
              <w:snapToGrid w:val="0"/>
              <w:spacing w:line="240" w:lineRule="auto"/>
              <w:jc w:val="center"/>
              <w:rPr>
                <w:sz w:val="20"/>
                <w:szCs w:val="16"/>
              </w:rPr>
            </w:pPr>
          </w:p>
        </w:tc>
        <w:tc>
          <w:tcPr>
            <w:tcW w:w="425" w:type="dxa"/>
            <w:tcBorders>
              <w:top w:val="single" w:sz="4" w:space="0" w:color="auto"/>
              <w:left w:val="nil"/>
              <w:bottom w:val="nil"/>
              <w:right w:val="nil"/>
            </w:tcBorders>
            <w:shd w:val="clear" w:color="auto" w:fill="auto"/>
            <w:noWrap/>
            <w:vAlign w:val="center"/>
          </w:tcPr>
          <w:p w14:paraId="7B80E9A6" w14:textId="77777777" w:rsidR="002D558C" w:rsidRPr="00D14384" w:rsidRDefault="002D558C" w:rsidP="009427CF">
            <w:pPr>
              <w:keepLines/>
              <w:snapToGrid w:val="0"/>
              <w:spacing w:line="240" w:lineRule="auto"/>
              <w:jc w:val="center"/>
              <w:rPr>
                <w:sz w:val="20"/>
                <w:szCs w:val="16"/>
              </w:rPr>
            </w:pPr>
          </w:p>
        </w:tc>
        <w:tc>
          <w:tcPr>
            <w:tcW w:w="425" w:type="dxa"/>
            <w:tcBorders>
              <w:top w:val="single" w:sz="4" w:space="0" w:color="auto"/>
              <w:left w:val="nil"/>
              <w:bottom w:val="nil"/>
              <w:right w:val="nil"/>
            </w:tcBorders>
            <w:shd w:val="clear" w:color="auto" w:fill="auto"/>
            <w:noWrap/>
            <w:vAlign w:val="center"/>
          </w:tcPr>
          <w:p w14:paraId="1B908150" w14:textId="77777777" w:rsidR="002D558C" w:rsidRPr="00D14384" w:rsidRDefault="002D558C" w:rsidP="009427CF">
            <w:pPr>
              <w:keepLines/>
              <w:snapToGrid w:val="0"/>
              <w:spacing w:line="240" w:lineRule="auto"/>
              <w:jc w:val="center"/>
              <w:rPr>
                <w:color w:val="808080"/>
                <w:sz w:val="20"/>
                <w:szCs w:val="16"/>
              </w:rPr>
            </w:pPr>
          </w:p>
        </w:tc>
      </w:tr>
      <w:tr w:rsidR="002D558C" w:rsidRPr="00D14384" w14:paraId="4DDBFC7A" w14:textId="77777777" w:rsidTr="009427CF">
        <w:trPr>
          <w:trHeight w:val="377"/>
        </w:trPr>
        <w:tc>
          <w:tcPr>
            <w:tcW w:w="1430" w:type="dxa"/>
            <w:tcBorders>
              <w:top w:val="nil"/>
              <w:left w:val="nil"/>
              <w:bottom w:val="nil"/>
              <w:right w:val="nil"/>
            </w:tcBorders>
            <w:shd w:val="clear" w:color="auto" w:fill="auto"/>
            <w:noWrap/>
            <w:vAlign w:val="center"/>
            <w:hideMark/>
          </w:tcPr>
          <w:p w14:paraId="33780FF0" w14:textId="77777777" w:rsidR="002D558C" w:rsidRPr="00D14384" w:rsidRDefault="002D558C" w:rsidP="009427CF">
            <w:pPr>
              <w:keepLines/>
              <w:snapToGrid w:val="0"/>
              <w:spacing w:line="240" w:lineRule="auto"/>
              <w:rPr>
                <w:sz w:val="20"/>
                <w:szCs w:val="18"/>
              </w:rPr>
            </w:pPr>
            <w:r w:rsidRPr="00D14384">
              <w:rPr>
                <w:sz w:val="20"/>
                <w:szCs w:val="18"/>
              </w:rPr>
              <w:t>Acetate</w:t>
            </w:r>
          </w:p>
        </w:tc>
        <w:tc>
          <w:tcPr>
            <w:tcW w:w="417" w:type="dxa"/>
            <w:tcBorders>
              <w:top w:val="nil"/>
              <w:left w:val="nil"/>
              <w:bottom w:val="nil"/>
              <w:right w:val="nil"/>
            </w:tcBorders>
            <w:shd w:val="clear" w:color="auto" w:fill="auto"/>
            <w:noWrap/>
            <w:vAlign w:val="center"/>
            <w:hideMark/>
          </w:tcPr>
          <w:p w14:paraId="200845AD"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85.6</w:t>
            </w:r>
          </w:p>
        </w:tc>
        <w:tc>
          <w:tcPr>
            <w:tcW w:w="425" w:type="dxa"/>
            <w:tcBorders>
              <w:top w:val="nil"/>
              <w:left w:val="nil"/>
              <w:bottom w:val="nil"/>
              <w:right w:val="nil"/>
            </w:tcBorders>
            <w:shd w:val="clear" w:color="auto" w:fill="auto"/>
            <w:noWrap/>
            <w:vAlign w:val="center"/>
            <w:hideMark/>
          </w:tcPr>
          <w:p w14:paraId="7865CF5E"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77.1</w:t>
            </w:r>
          </w:p>
        </w:tc>
        <w:tc>
          <w:tcPr>
            <w:tcW w:w="426" w:type="dxa"/>
            <w:tcBorders>
              <w:top w:val="nil"/>
              <w:left w:val="nil"/>
              <w:bottom w:val="nil"/>
              <w:right w:val="nil"/>
            </w:tcBorders>
            <w:shd w:val="clear" w:color="auto" w:fill="auto"/>
            <w:noWrap/>
            <w:vAlign w:val="center"/>
            <w:hideMark/>
          </w:tcPr>
          <w:p w14:paraId="74D13AF6" w14:textId="77777777" w:rsidR="002D558C" w:rsidRPr="00D14384" w:rsidRDefault="002D558C" w:rsidP="009427CF">
            <w:pPr>
              <w:keepLines/>
              <w:snapToGrid w:val="0"/>
              <w:spacing w:line="240" w:lineRule="auto"/>
              <w:jc w:val="center"/>
              <w:rPr>
                <w:sz w:val="20"/>
                <w:szCs w:val="16"/>
              </w:rPr>
            </w:pPr>
            <w:r w:rsidRPr="00D14384">
              <w:rPr>
                <w:sz w:val="20"/>
                <w:szCs w:val="16"/>
              </w:rPr>
              <w:t>85.4</w:t>
            </w:r>
          </w:p>
        </w:tc>
        <w:tc>
          <w:tcPr>
            <w:tcW w:w="425" w:type="dxa"/>
            <w:tcBorders>
              <w:top w:val="nil"/>
              <w:left w:val="nil"/>
              <w:bottom w:val="nil"/>
              <w:right w:val="nil"/>
            </w:tcBorders>
            <w:shd w:val="clear" w:color="auto" w:fill="auto"/>
            <w:noWrap/>
            <w:vAlign w:val="center"/>
            <w:hideMark/>
          </w:tcPr>
          <w:p w14:paraId="19CFEC46"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80.3</w:t>
            </w:r>
          </w:p>
        </w:tc>
        <w:tc>
          <w:tcPr>
            <w:tcW w:w="425" w:type="dxa"/>
            <w:tcBorders>
              <w:top w:val="nil"/>
              <w:left w:val="nil"/>
              <w:bottom w:val="nil"/>
              <w:right w:val="nil"/>
            </w:tcBorders>
            <w:shd w:val="clear" w:color="auto" w:fill="auto"/>
            <w:noWrap/>
            <w:vAlign w:val="center"/>
            <w:hideMark/>
          </w:tcPr>
          <w:p w14:paraId="58A80B7A"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80.5</w:t>
            </w:r>
          </w:p>
        </w:tc>
        <w:tc>
          <w:tcPr>
            <w:tcW w:w="425" w:type="dxa"/>
            <w:tcBorders>
              <w:top w:val="nil"/>
              <w:left w:val="nil"/>
              <w:bottom w:val="nil"/>
              <w:right w:val="nil"/>
            </w:tcBorders>
            <w:shd w:val="clear" w:color="auto" w:fill="auto"/>
            <w:noWrap/>
            <w:vAlign w:val="center"/>
            <w:hideMark/>
          </w:tcPr>
          <w:p w14:paraId="41CD1D30" w14:textId="77777777" w:rsidR="002D558C" w:rsidRPr="00D14384" w:rsidRDefault="002D558C" w:rsidP="009427CF">
            <w:pPr>
              <w:keepLines/>
              <w:snapToGrid w:val="0"/>
              <w:spacing w:line="240" w:lineRule="auto"/>
              <w:jc w:val="center"/>
              <w:rPr>
                <w:sz w:val="20"/>
                <w:szCs w:val="16"/>
              </w:rPr>
            </w:pPr>
            <w:r w:rsidRPr="00D14384">
              <w:rPr>
                <w:sz w:val="20"/>
                <w:szCs w:val="16"/>
              </w:rPr>
              <w:t>86.7</w:t>
            </w:r>
          </w:p>
        </w:tc>
        <w:tc>
          <w:tcPr>
            <w:tcW w:w="429" w:type="dxa"/>
            <w:tcBorders>
              <w:top w:val="nil"/>
              <w:left w:val="nil"/>
              <w:bottom w:val="nil"/>
              <w:right w:val="nil"/>
            </w:tcBorders>
            <w:shd w:val="clear" w:color="auto" w:fill="auto"/>
            <w:noWrap/>
            <w:vAlign w:val="center"/>
            <w:hideMark/>
          </w:tcPr>
          <w:p w14:paraId="74E59A6B" w14:textId="77777777" w:rsidR="002D558C" w:rsidRPr="00D14384" w:rsidRDefault="002D558C" w:rsidP="009427CF">
            <w:pPr>
              <w:keepLines/>
              <w:snapToGrid w:val="0"/>
              <w:spacing w:line="240" w:lineRule="auto"/>
              <w:jc w:val="center"/>
              <w:rPr>
                <w:sz w:val="20"/>
                <w:szCs w:val="16"/>
              </w:rPr>
            </w:pPr>
            <w:r w:rsidRPr="00D14384">
              <w:rPr>
                <w:sz w:val="20"/>
                <w:szCs w:val="16"/>
              </w:rPr>
              <w:t>95.6</w:t>
            </w:r>
          </w:p>
        </w:tc>
        <w:tc>
          <w:tcPr>
            <w:tcW w:w="428" w:type="dxa"/>
            <w:tcBorders>
              <w:top w:val="nil"/>
              <w:left w:val="nil"/>
              <w:bottom w:val="nil"/>
              <w:right w:val="nil"/>
            </w:tcBorders>
            <w:shd w:val="clear" w:color="auto" w:fill="auto"/>
            <w:noWrap/>
            <w:vAlign w:val="center"/>
            <w:hideMark/>
          </w:tcPr>
          <w:p w14:paraId="2761EEDD" w14:textId="77777777" w:rsidR="002D558C" w:rsidRPr="00D14384" w:rsidRDefault="002D558C" w:rsidP="009427CF">
            <w:pPr>
              <w:keepLines/>
              <w:snapToGrid w:val="0"/>
              <w:spacing w:line="240" w:lineRule="auto"/>
              <w:jc w:val="center"/>
              <w:rPr>
                <w:sz w:val="20"/>
                <w:szCs w:val="16"/>
              </w:rPr>
            </w:pPr>
            <w:r w:rsidRPr="00D14384">
              <w:rPr>
                <w:sz w:val="20"/>
                <w:szCs w:val="16"/>
              </w:rPr>
              <w:t>92.4</w:t>
            </w:r>
          </w:p>
        </w:tc>
        <w:tc>
          <w:tcPr>
            <w:tcW w:w="428" w:type="dxa"/>
            <w:tcBorders>
              <w:top w:val="nil"/>
              <w:left w:val="nil"/>
              <w:bottom w:val="nil"/>
              <w:right w:val="nil"/>
            </w:tcBorders>
            <w:shd w:val="clear" w:color="auto" w:fill="auto"/>
            <w:noWrap/>
            <w:vAlign w:val="center"/>
            <w:hideMark/>
          </w:tcPr>
          <w:p w14:paraId="73154EA7"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82.1</w:t>
            </w:r>
          </w:p>
        </w:tc>
        <w:tc>
          <w:tcPr>
            <w:tcW w:w="428" w:type="dxa"/>
            <w:tcBorders>
              <w:top w:val="nil"/>
              <w:left w:val="nil"/>
              <w:bottom w:val="nil"/>
              <w:right w:val="nil"/>
            </w:tcBorders>
            <w:shd w:val="clear" w:color="auto" w:fill="auto"/>
            <w:noWrap/>
            <w:vAlign w:val="center"/>
            <w:hideMark/>
          </w:tcPr>
          <w:p w14:paraId="1377499E" w14:textId="77777777" w:rsidR="002D558C" w:rsidRPr="00D14384" w:rsidRDefault="002D558C" w:rsidP="009427CF">
            <w:pPr>
              <w:keepLines/>
              <w:snapToGrid w:val="0"/>
              <w:spacing w:line="240" w:lineRule="auto"/>
              <w:jc w:val="center"/>
              <w:rPr>
                <w:sz w:val="20"/>
                <w:szCs w:val="16"/>
              </w:rPr>
            </w:pPr>
            <w:r w:rsidRPr="00D14384">
              <w:rPr>
                <w:sz w:val="20"/>
                <w:szCs w:val="16"/>
              </w:rPr>
              <w:t>87.3</w:t>
            </w:r>
          </w:p>
        </w:tc>
        <w:tc>
          <w:tcPr>
            <w:tcW w:w="429" w:type="dxa"/>
            <w:tcBorders>
              <w:top w:val="nil"/>
              <w:left w:val="nil"/>
              <w:bottom w:val="nil"/>
              <w:right w:val="nil"/>
            </w:tcBorders>
            <w:shd w:val="clear" w:color="auto" w:fill="auto"/>
            <w:noWrap/>
            <w:vAlign w:val="center"/>
            <w:hideMark/>
          </w:tcPr>
          <w:p w14:paraId="624FEA12" w14:textId="77777777" w:rsidR="002D558C" w:rsidRPr="00D14384" w:rsidRDefault="002D558C" w:rsidP="009427CF">
            <w:pPr>
              <w:keepLines/>
              <w:snapToGrid w:val="0"/>
              <w:spacing w:line="240" w:lineRule="auto"/>
              <w:jc w:val="center"/>
              <w:rPr>
                <w:sz w:val="20"/>
                <w:szCs w:val="16"/>
              </w:rPr>
            </w:pPr>
            <w:r w:rsidRPr="00D14384">
              <w:rPr>
                <w:sz w:val="20"/>
                <w:szCs w:val="16"/>
              </w:rPr>
              <w:t>79.9</w:t>
            </w:r>
          </w:p>
        </w:tc>
        <w:tc>
          <w:tcPr>
            <w:tcW w:w="428" w:type="dxa"/>
            <w:tcBorders>
              <w:top w:val="nil"/>
              <w:left w:val="nil"/>
              <w:bottom w:val="nil"/>
              <w:right w:val="nil"/>
            </w:tcBorders>
            <w:shd w:val="clear" w:color="auto" w:fill="auto"/>
            <w:noWrap/>
            <w:vAlign w:val="center"/>
            <w:hideMark/>
          </w:tcPr>
          <w:p w14:paraId="2ED38CCE" w14:textId="77777777" w:rsidR="002D558C" w:rsidRPr="00D14384" w:rsidRDefault="002D558C" w:rsidP="009427CF">
            <w:pPr>
              <w:keepLines/>
              <w:snapToGrid w:val="0"/>
              <w:spacing w:line="240" w:lineRule="auto"/>
              <w:jc w:val="center"/>
              <w:rPr>
                <w:sz w:val="20"/>
                <w:szCs w:val="16"/>
              </w:rPr>
            </w:pPr>
            <w:r w:rsidRPr="00D14384">
              <w:rPr>
                <w:sz w:val="20"/>
                <w:szCs w:val="16"/>
              </w:rPr>
              <w:t>84.7</w:t>
            </w:r>
          </w:p>
        </w:tc>
        <w:tc>
          <w:tcPr>
            <w:tcW w:w="428" w:type="dxa"/>
            <w:tcBorders>
              <w:top w:val="nil"/>
              <w:left w:val="nil"/>
              <w:bottom w:val="nil"/>
              <w:right w:val="nil"/>
            </w:tcBorders>
            <w:shd w:val="clear" w:color="auto" w:fill="auto"/>
            <w:noWrap/>
            <w:vAlign w:val="center"/>
            <w:hideMark/>
          </w:tcPr>
          <w:p w14:paraId="04CD93A1" w14:textId="77777777" w:rsidR="002D558C" w:rsidRPr="00D14384" w:rsidRDefault="002D558C" w:rsidP="009427CF">
            <w:pPr>
              <w:keepLines/>
              <w:snapToGrid w:val="0"/>
              <w:spacing w:line="240" w:lineRule="auto"/>
              <w:jc w:val="center"/>
              <w:rPr>
                <w:sz w:val="20"/>
                <w:szCs w:val="16"/>
              </w:rPr>
            </w:pPr>
            <w:r w:rsidRPr="00D14384">
              <w:rPr>
                <w:sz w:val="20"/>
                <w:szCs w:val="16"/>
              </w:rPr>
              <w:t>86.6</w:t>
            </w:r>
          </w:p>
        </w:tc>
        <w:tc>
          <w:tcPr>
            <w:tcW w:w="425" w:type="dxa"/>
            <w:tcBorders>
              <w:top w:val="nil"/>
              <w:left w:val="nil"/>
              <w:bottom w:val="nil"/>
              <w:right w:val="nil"/>
            </w:tcBorders>
            <w:shd w:val="clear" w:color="auto" w:fill="auto"/>
            <w:noWrap/>
            <w:vAlign w:val="center"/>
            <w:hideMark/>
          </w:tcPr>
          <w:p w14:paraId="5DA54454" w14:textId="77777777" w:rsidR="002D558C" w:rsidRPr="00D14384" w:rsidRDefault="002D558C" w:rsidP="009427CF">
            <w:pPr>
              <w:keepLines/>
              <w:snapToGrid w:val="0"/>
              <w:spacing w:line="240" w:lineRule="auto"/>
              <w:jc w:val="center"/>
              <w:rPr>
                <w:sz w:val="20"/>
                <w:szCs w:val="16"/>
              </w:rPr>
            </w:pPr>
            <w:r w:rsidRPr="00D14384">
              <w:rPr>
                <w:sz w:val="20"/>
                <w:szCs w:val="16"/>
              </w:rPr>
              <w:t>80.2</w:t>
            </w:r>
          </w:p>
        </w:tc>
        <w:tc>
          <w:tcPr>
            <w:tcW w:w="429" w:type="dxa"/>
            <w:tcBorders>
              <w:top w:val="nil"/>
              <w:left w:val="nil"/>
              <w:bottom w:val="nil"/>
              <w:right w:val="nil"/>
            </w:tcBorders>
            <w:shd w:val="clear" w:color="auto" w:fill="auto"/>
            <w:noWrap/>
            <w:vAlign w:val="center"/>
            <w:hideMark/>
          </w:tcPr>
          <w:p w14:paraId="283B373D" w14:textId="77777777" w:rsidR="002D558C" w:rsidRPr="00D14384" w:rsidRDefault="002D558C" w:rsidP="009427CF">
            <w:pPr>
              <w:keepLines/>
              <w:snapToGrid w:val="0"/>
              <w:spacing w:line="240" w:lineRule="auto"/>
              <w:jc w:val="center"/>
              <w:rPr>
                <w:sz w:val="20"/>
                <w:szCs w:val="16"/>
              </w:rPr>
            </w:pPr>
            <w:r w:rsidRPr="00D14384">
              <w:rPr>
                <w:sz w:val="20"/>
                <w:szCs w:val="16"/>
              </w:rPr>
              <w:t>77.6</w:t>
            </w:r>
          </w:p>
        </w:tc>
        <w:tc>
          <w:tcPr>
            <w:tcW w:w="425" w:type="dxa"/>
            <w:tcBorders>
              <w:top w:val="nil"/>
              <w:left w:val="nil"/>
              <w:bottom w:val="nil"/>
              <w:right w:val="nil"/>
            </w:tcBorders>
            <w:shd w:val="clear" w:color="auto" w:fill="auto"/>
            <w:noWrap/>
            <w:vAlign w:val="center"/>
            <w:hideMark/>
          </w:tcPr>
          <w:p w14:paraId="02C2E825" w14:textId="77777777" w:rsidR="002D558C" w:rsidRPr="00D14384" w:rsidRDefault="002D558C" w:rsidP="009427CF">
            <w:pPr>
              <w:keepLines/>
              <w:snapToGrid w:val="0"/>
              <w:spacing w:line="240" w:lineRule="auto"/>
              <w:jc w:val="center"/>
              <w:rPr>
                <w:sz w:val="20"/>
                <w:szCs w:val="16"/>
              </w:rPr>
            </w:pPr>
            <w:r w:rsidRPr="00D14384">
              <w:rPr>
                <w:sz w:val="20"/>
                <w:szCs w:val="16"/>
              </w:rPr>
              <w:t>79.0</w:t>
            </w:r>
          </w:p>
        </w:tc>
        <w:tc>
          <w:tcPr>
            <w:tcW w:w="425" w:type="dxa"/>
            <w:tcBorders>
              <w:top w:val="nil"/>
              <w:left w:val="nil"/>
              <w:bottom w:val="nil"/>
              <w:right w:val="nil"/>
            </w:tcBorders>
            <w:shd w:val="clear" w:color="auto" w:fill="auto"/>
            <w:noWrap/>
            <w:vAlign w:val="center"/>
            <w:hideMark/>
          </w:tcPr>
          <w:p w14:paraId="0A5083C6"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77.3</w:t>
            </w:r>
          </w:p>
        </w:tc>
      </w:tr>
      <w:tr w:rsidR="002D558C" w:rsidRPr="00D14384" w14:paraId="3DCC9B80" w14:textId="77777777" w:rsidTr="009427CF">
        <w:trPr>
          <w:trHeight w:val="377"/>
        </w:trPr>
        <w:tc>
          <w:tcPr>
            <w:tcW w:w="1430" w:type="dxa"/>
            <w:tcBorders>
              <w:top w:val="nil"/>
              <w:left w:val="nil"/>
              <w:bottom w:val="nil"/>
              <w:right w:val="nil"/>
            </w:tcBorders>
            <w:shd w:val="clear" w:color="auto" w:fill="auto"/>
            <w:noWrap/>
            <w:vAlign w:val="center"/>
            <w:hideMark/>
          </w:tcPr>
          <w:p w14:paraId="0B71B1FA" w14:textId="77777777" w:rsidR="002D558C" w:rsidRPr="00D14384" w:rsidRDefault="002D558C" w:rsidP="009427CF">
            <w:pPr>
              <w:keepLines/>
              <w:snapToGrid w:val="0"/>
              <w:spacing w:line="240" w:lineRule="auto"/>
              <w:rPr>
                <w:sz w:val="20"/>
                <w:szCs w:val="18"/>
              </w:rPr>
            </w:pPr>
            <w:r w:rsidRPr="00D14384">
              <w:rPr>
                <w:sz w:val="20"/>
                <w:szCs w:val="18"/>
              </w:rPr>
              <w:t>Wastewater</w:t>
            </w:r>
          </w:p>
        </w:tc>
        <w:tc>
          <w:tcPr>
            <w:tcW w:w="417" w:type="dxa"/>
            <w:tcBorders>
              <w:top w:val="nil"/>
              <w:left w:val="nil"/>
              <w:bottom w:val="nil"/>
              <w:right w:val="nil"/>
            </w:tcBorders>
            <w:shd w:val="clear" w:color="auto" w:fill="auto"/>
            <w:noWrap/>
            <w:vAlign w:val="center"/>
            <w:hideMark/>
          </w:tcPr>
          <w:p w14:paraId="23C569F6"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677EC74D" w14:textId="77777777" w:rsidR="002D558C" w:rsidRPr="00D14384" w:rsidRDefault="002D558C" w:rsidP="009427CF">
            <w:pPr>
              <w:keepLines/>
              <w:snapToGrid w:val="0"/>
              <w:spacing w:line="240" w:lineRule="auto"/>
              <w:jc w:val="center"/>
              <w:rPr>
                <w:sz w:val="20"/>
                <w:szCs w:val="16"/>
              </w:rPr>
            </w:pPr>
          </w:p>
        </w:tc>
        <w:tc>
          <w:tcPr>
            <w:tcW w:w="426" w:type="dxa"/>
            <w:tcBorders>
              <w:top w:val="nil"/>
              <w:left w:val="nil"/>
              <w:bottom w:val="nil"/>
              <w:right w:val="nil"/>
            </w:tcBorders>
            <w:shd w:val="clear" w:color="auto" w:fill="auto"/>
            <w:noWrap/>
            <w:vAlign w:val="center"/>
            <w:hideMark/>
          </w:tcPr>
          <w:p w14:paraId="05B0B303"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66D02BFD"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5B348810"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0954B105" w14:textId="77777777" w:rsidR="002D558C" w:rsidRPr="00D14384" w:rsidRDefault="002D558C" w:rsidP="009427CF">
            <w:pPr>
              <w:keepLines/>
              <w:snapToGrid w:val="0"/>
              <w:spacing w:line="240" w:lineRule="auto"/>
              <w:jc w:val="center"/>
              <w:rPr>
                <w:sz w:val="20"/>
                <w:szCs w:val="16"/>
              </w:rPr>
            </w:pPr>
            <w:r w:rsidRPr="00D14384">
              <w:rPr>
                <w:sz w:val="20"/>
                <w:szCs w:val="16"/>
              </w:rPr>
              <w:t>60.8</w:t>
            </w:r>
          </w:p>
        </w:tc>
        <w:tc>
          <w:tcPr>
            <w:tcW w:w="429" w:type="dxa"/>
            <w:tcBorders>
              <w:top w:val="nil"/>
              <w:left w:val="nil"/>
              <w:bottom w:val="nil"/>
              <w:right w:val="nil"/>
            </w:tcBorders>
            <w:shd w:val="clear" w:color="auto" w:fill="auto"/>
            <w:noWrap/>
            <w:vAlign w:val="center"/>
            <w:hideMark/>
          </w:tcPr>
          <w:p w14:paraId="1117D32D"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41.9</w:t>
            </w:r>
          </w:p>
        </w:tc>
        <w:tc>
          <w:tcPr>
            <w:tcW w:w="428" w:type="dxa"/>
            <w:tcBorders>
              <w:top w:val="nil"/>
              <w:left w:val="nil"/>
              <w:bottom w:val="nil"/>
              <w:right w:val="nil"/>
            </w:tcBorders>
            <w:shd w:val="clear" w:color="auto" w:fill="auto"/>
            <w:noWrap/>
            <w:vAlign w:val="center"/>
            <w:hideMark/>
          </w:tcPr>
          <w:p w14:paraId="5A0D2E54" w14:textId="77777777" w:rsidR="002D558C" w:rsidRPr="00D14384" w:rsidRDefault="002D558C" w:rsidP="009427CF">
            <w:pPr>
              <w:keepLines/>
              <w:snapToGrid w:val="0"/>
              <w:spacing w:line="240" w:lineRule="auto"/>
              <w:jc w:val="center"/>
              <w:rPr>
                <w:sz w:val="20"/>
                <w:szCs w:val="16"/>
              </w:rPr>
            </w:pPr>
          </w:p>
        </w:tc>
        <w:tc>
          <w:tcPr>
            <w:tcW w:w="428" w:type="dxa"/>
            <w:tcBorders>
              <w:top w:val="nil"/>
              <w:left w:val="nil"/>
              <w:bottom w:val="nil"/>
              <w:right w:val="nil"/>
            </w:tcBorders>
            <w:shd w:val="clear" w:color="auto" w:fill="auto"/>
            <w:noWrap/>
            <w:vAlign w:val="center"/>
            <w:hideMark/>
          </w:tcPr>
          <w:p w14:paraId="46B72335" w14:textId="77777777" w:rsidR="002D558C" w:rsidRPr="00D14384" w:rsidRDefault="002D558C" w:rsidP="009427CF">
            <w:pPr>
              <w:keepLines/>
              <w:snapToGrid w:val="0"/>
              <w:spacing w:line="240" w:lineRule="auto"/>
              <w:jc w:val="center"/>
              <w:rPr>
                <w:sz w:val="20"/>
                <w:szCs w:val="16"/>
              </w:rPr>
            </w:pPr>
          </w:p>
        </w:tc>
        <w:tc>
          <w:tcPr>
            <w:tcW w:w="428" w:type="dxa"/>
            <w:tcBorders>
              <w:top w:val="nil"/>
              <w:left w:val="nil"/>
              <w:bottom w:val="nil"/>
              <w:right w:val="nil"/>
            </w:tcBorders>
            <w:shd w:val="clear" w:color="auto" w:fill="auto"/>
            <w:noWrap/>
            <w:vAlign w:val="center"/>
            <w:hideMark/>
          </w:tcPr>
          <w:p w14:paraId="7ACE8829"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59.1</w:t>
            </w:r>
          </w:p>
        </w:tc>
        <w:tc>
          <w:tcPr>
            <w:tcW w:w="429" w:type="dxa"/>
            <w:tcBorders>
              <w:top w:val="nil"/>
              <w:left w:val="nil"/>
              <w:bottom w:val="nil"/>
              <w:right w:val="nil"/>
            </w:tcBorders>
            <w:shd w:val="clear" w:color="auto" w:fill="auto"/>
            <w:noWrap/>
            <w:vAlign w:val="center"/>
            <w:hideMark/>
          </w:tcPr>
          <w:p w14:paraId="604A79EA"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69.8</w:t>
            </w:r>
          </w:p>
        </w:tc>
        <w:tc>
          <w:tcPr>
            <w:tcW w:w="428" w:type="dxa"/>
            <w:tcBorders>
              <w:top w:val="nil"/>
              <w:left w:val="nil"/>
              <w:bottom w:val="nil"/>
              <w:right w:val="nil"/>
            </w:tcBorders>
            <w:shd w:val="clear" w:color="auto" w:fill="auto"/>
            <w:noWrap/>
            <w:vAlign w:val="center"/>
            <w:hideMark/>
          </w:tcPr>
          <w:p w14:paraId="2433EAF0" w14:textId="77777777" w:rsidR="002D558C" w:rsidRPr="00D14384" w:rsidRDefault="002D558C" w:rsidP="009427CF">
            <w:pPr>
              <w:keepLines/>
              <w:snapToGrid w:val="0"/>
              <w:spacing w:line="240" w:lineRule="auto"/>
              <w:jc w:val="center"/>
              <w:rPr>
                <w:sz w:val="20"/>
                <w:szCs w:val="16"/>
              </w:rPr>
            </w:pPr>
            <w:r w:rsidRPr="00D14384">
              <w:rPr>
                <w:sz w:val="20"/>
                <w:szCs w:val="16"/>
              </w:rPr>
              <w:t>68.1</w:t>
            </w:r>
          </w:p>
        </w:tc>
        <w:tc>
          <w:tcPr>
            <w:tcW w:w="428" w:type="dxa"/>
            <w:tcBorders>
              <w:top w:val="nil"/>
              <w:left w:val="nil"/>
              <w:bottom w:val="nil"/>
              <w:right w:val="nil"/>
            </w:tcBorders>
            <w:shd w:val="clear" w:color="auto" w:fill="auto"/>
            <w:noWrap/>
            <w:vAlign w:val="center"/>
            <w:hideMark/>
          </w:tcPr>
          <w:p w14:paraId="76C8C65C" w14:textId="77777777" w:rsidR="002D558C" w:rsidRPr="00D14384" w:rsidRDefault="002D558C" w:rsidP="009427CF">
            <w:pPr>
              <w:keepLines/>
              <w:snapToGrid w:val="0"/>
              <w:spacing w:line="240" w:lineRule="auto"/>
              <w:jc w:val="center"/>
              <w:rPr>
                <w:sz w:val="20"/>
                <w:szCs w:val="16"/>
              </w:rPr>
            </w:pPr>
            <w:r w:rsidRPr="00D14384">
              <w:rPr>
                <w:sz w:val="20"/>
                <w:szCs w:val="16"/>
              </w:rPr>
              <w:t>70.5</w:t>
            </w:r>
          </w:p>
        </w:tc>
        <w:tc>
          <w:tcPr>
            <w:tcW w:w="425" w:type="dxa"/>
            <w:tcBorders>
              <w:top w:val="nil"/>
              <w:left w:val="nil"/>
              <w:bottom w:val="nil"/>
              <w:right w:val="nil"/>
            </w:tcBorders>
            <w:shd w:val="clear" w:color="auto" w:fill="auto"/>
            <w:noWrap/>
            <w:vAlign w:val="center"/>
            <w:hideMark/>
          </w:tcPr>
          <w:p w14:paraId="0F6EBB13" w14:textId="77777777" w:rsidR="002D558C" w:rsidRPr="00D14384" w:rsidRDefault="002D558C" w:rsidP="009427CF">
            <w:pPr>
              <w:keepLines/>
              <w:snapToGrid w:val="0"/>
              <w:spacing w:line="240" w:lineRule="auto"/>
              <w:jc w:val="center"/>
              <w:rPr>
                <w:sz w:val="20"/>
                <w:szCs w:val="16"/>
              </w:rPr>
            </w:pPr>
          </w:p>
        </w:tc>
        <w:tc>
          <w:tcPr>
            <w:tcW w:w="429" w:type="dxa"/>
            <w:tcBorders>
              <w:top w:val="nil"/>
              <w:left w:val="nil"/>
              <w:bottom w:val="nil"/>
              <w:right w:val="nil"/>
            </w:tcBorders>
            <w:shd w:val="clear" w:color="auto" w:fill="auto"/>
            <w:noWrap/>
            <w:vAlign w:val="center"/>
            <w:hideMark/>
          </w:tcPr>
          <w:p w14:paraId="260B80ED"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225DC058" w14:textId="77777777" w:rsidR="002D558C" w:rsidRPr="00D14384" w:rsidRDefault="002D558C" w:rsidP="009427CF">
            <w:pPr>
              <w:keepLines/>
              <w:snapToGrid w:val="0"/>
              <w:spacing w:line="240" w:lineRule="auto"/>
              <w:jc w:val="center"/>
              <w:rPr>
                <w:sz w:val="20"/>
                <w:szCs w:val="16"/>
              </w:rPr>
            </w:pPr>
            <w:r w:rsidRPr="00D14384">
              <w:rPr>
                <w:sz w:val="20"/>
                <w:szCs w:val="16"/>
              </w:rPr>
              <w:t>80.3</w:t>
            </w:r>
          </w:p>
        </w:tc>
        <w:tc>
          <w:tcPr>
            <w:tcW w:w="425" w:type="dxa"/>
            <w:tcBorders>
              <w:top w:val="nil"/>
              <w:left w:val="nil"/>
              <w:bottom w:val="nil"/>
              <w:right w:val="nil"/>
            </w:tcBorders>
            <w:shd w:val="clear" w:color="auto" w:fill="auto"/>
            <w:noWrap/>
            <w:vAlign w:val="center"/>
            <w:hideMark/>
          </w:tcPr>
          <w:p w14:paraId="01A8A4F2" w14:textId="77777777" w:rsidR="002D558C" w:rsidRPr="00D14384" w:rsidRDefault="002D558C" w:rsidP="009427CF">
            <w:pPr>
              <w:keepLines/>
              <w:snapToGrid w:val="0"/>
              <w:spacing w:line="240" w:lineRule="auto"/>
              <w:jc w:val="center"/>
              <w:rPr>
                <w:sz w:val="20"/>
                <w:szCs w:val="16"/>
              </w:rPr>
            </w:pPr>
            <w:r w:rsidRPr="00D14384">
              <w:rPr>
                <w:sz w:val="20"/>
                <w:szCs w:val="16"/>
              </w:rPr>
              <w:t>62.5</w:t>
            </w:r>
          </w:p>
        </w:tc>
      </w:tr>
      <w:tr w:rsidR="002D558C" w:rsidRPr="00D14384" w14:paraId="5AD77026" w14:textId="77777777" w:rsidTr="009427CF">
        <w:trPr>
          <w:trHeight w:val="377"/>
        </w:trPr>
        <w:tc>
          <w:tcPr>
            <w:tcW w:w="1430" w:type="dxa"/>
            <w:tcBorders>
              <w:top w:val="nil"/>
              <w:left w:val="nil"/>
              <w:bottom w:val="nil"/>
              <w:right w:val="nil"/>
            </w:tcBorders>
            <w:shd w:val="clear" w:color="auto" w:fill="auto"/>
            <w:noWrap/>
            <w:vAlign w:val="center"/>
            <w:hideMark/>
          </w:tcPr>
          <w:p w14:paraId="6D765132" w14:textId="77777777" w:rsidR="002D558C" w:rsidRPr="00D14384" w:rsidRDefault="002D558C" w:rsidP="009427CF">
            <w:pPr>
              <w:keepLines/>
              <w:snapToGrid w:val="0"/>
              <w:spacing w:line="240" w:lineRule="auto"/>
              <w:rPr>
                <w:sz w:val="20"/>
                <w:szCs w:val="18"/>
              </w:rPr>
            </w:pPr>
            <w:r w:rsidRPr="00D14384">
              <w:rPr>
                <w:sz w:val="20"/>
                <w:szCs w:val="18"/>
              </w:rPr>
              <w:t>Starch</w:t>
            </w:r>
          </w:p>
        </w:tc>
        <w:tc>
          <w:tcPr>
            <w:tcW w:w="417" w:type="dxa"/>
            <w:tcBorders>
              <w:top w:val="nil"/>
              <w:left w:val="nil"/>
              <w:bottom w:val="nil"/>
              <w:right w:val="nil"/>
            </w:tcBorders>
            <w:shd w:val="clear" w:color="auto" w:fill="auto"/>
            <w:noWrap/>
            <w:vAlign w:val="center"/>
            <w:hideMark/>
          </w:tcPr>
          <w:p w14:paraId="6F15CC58"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324D3C70" w14:textId="77777777" w:rsidR="002D558C" w:rsidRPr="00D14384" w:rsidRDefault="002D558C" w:rsidP="009427CF">
            <w:pPr>
              <w:keepLines/>
              <w:snapToGrid w:val="0"/>
              <w:spacing w:line="240" w:lineRule="auto"/>
              <w:jc w:val="center"/>
              <w:rPr>
                <w:sz w:val="20"/>
                <w:szCs w:val="16"/>
              </w:rPr>
            </w:pPr>
          </w:p>
        </w:tc>
        <w:tc>
          <w:tcPr>
            <w:tcW w:w="426" w:type="dxa"/>
            <w:tcBorders>
              <w:top w:val="nil"/>
              <w:left w:val="nil"/>
              <w:bottom w:val="nil"/>
              <w:right w:val="nil"/>
            </w:tcBorders>
            <w:shd w:val="clear" w:color="auto" w:fill="auto"/>
            <w:noWrap/>
            <w:vAlign w:val="center"/>
            <w:hideMark/>
          </w:tcPr>
          <w:p w14:paraId="581460E3"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20D5DA41"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4722B7C5"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19F0D756"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88.2</w:t>
            </w:r>
          </w:p>
        </w:tc>
        <w:tc>
          <w:tcPr>
            <w:tcW w:w="429" w:type="dxa"/>
            <w:tcBorders>
              <w:top w:val="nil"/>
              <w:left w:val="nil"/>
              <w:bottom w:val="nil"/>
              <w:right w:val="nil"/>
            </w:tcBorders>
            <w:shd w:val="clear" w:color="auto" w:fill="auto"/>
            <w:noWrap/>
            <w:vAlign w:val="center"/>
            <w:hideMark/>
          </w:tcPr>
          <w:p w14:paraId="4781BEC1"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84.5</w:t>
            </w:r>
          </w:p>
        </w:tc>
        <w:tc>
          <w:tcPr>
            <w:tcW w:w="428" w:type="dxa"/>
            <w:tcBorders>
              <w:top w:val="nil"/>
              <w:left w:val="nil"/>
              <w:bottom w:val="nil"/>
              <w:right w:val="nil"/>
            </w:tcBorders>
            <w:shd w:val="clear" w:color="auto" w:fill="auto"/>
            <w:noWrap/>
            <w:vAlign w:val="center"/>
            <w:hideMark/>
          </w:tcPr>
          <w:p w14:paraId="577FDB03" w14:textId="77777777" w:rsidR="002D558C" w:rsidRPr="00D14384" w:rsidRDefault="002D558C" w:rsidP="009427CF">
            <w:pPr>
              <w:keepLines/>
              <w:snapToGrid w:val="0"/>
              <w:spacing w:line="240" w:lineRule="auto"/>
              <w:jc w:val="center"/>
              <w:rPr>
                <w:sz w:val="20"/>
                <w:szCs w:val="16"/>
              </w:rPr>
            </w:pPr>
          </w:p>
        </w:tc>
        <w:tc>
          <w:tcPr>
            <w:tcW w:w="428" w:type="dxa"/>
            <w:tcBorders>
              <w:top w:val="nil"/>
              <w:left w:val="nil"/>
              <w:bottom w:val="nil"/>
              <w:right w:val="nil"/>
            </w:tcBorders>
            <w:shd w:val="clear" w:color="auto" w:fill="auto"/>
            <w:noWrap/>
            <w:vAlign w:val="center"/>
            <w:hideMark/>
          </w:tcPr>
          <w:p w14:paraId="5F01E751" w14:textId="77777777" w:rsidR="002D558C" w:rsidRPr="00D14384" w:rsidRDefault="002D558C" w:rsidP="009427CF">
            <w:pPr>
              <w:keepLines/>
              <w:snapToGrid w:val="0"/>
              <w:spacing w:line="240" w:lineRule="auto"/>
              <w:jc w:val="center"/>
              <w:rPr>
                <w:sz w:val="20"/>
                <w:szCs w:val="16"/>
              </w:rPr>
            </w:pPr>
          </w:p>
        </w:tc>
        <w:tc>
          <w:tcPr>
            <w:tcW w:w="428" w:type="dxa"/>
            <w:tcBorders>
              <w:top w:val="nil"/>
              <w:left w:val="nil"/>
              <w:bottom w:val="nil"/>
              <w:right w:val="nil"/>
            </w:tcBorders>
            <w:shd w:val="clear" w:color="auto" w:fill="auto"/>
            <w:noWrap/>
            <w:vAlign w:val="center"/>
            <w:hideMark/>
          </w:tcPr>
          <w:p w14:paraId="6713F779"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88.2</w:t>
            </w:r>
          </w:p>
        </w:tc>
        <w:tc>
          <w:tcPr>
            <w:tcW w:w="429" w:type="dxa"/>
            <w:tcBorders>
              <w:top w:val="nil"/>
              <w:left w:val="nil"/>
              <w:bottom w:val="nil"/>
              <w:right w:val="nil"/>
            </w:tcBorders>
            <w:shd w:val="clear" w:color="auto" w:fill="auto"/>
            <w:noWrap/>
            <w:vAlign w:val="center"/>
            <w:hideMark/>
          </w:tcPr>
          <w:p w14:paraId="0409D020" w14:textId="77777777" w:rsidR="002D558C" w:rsidRPr="00D14384" w:rsidRDefault="002D558C" w:rsidP="009427CF">
            <w:pPr>
              <w:keepLines/>
              <w:snapToGrid w:val="0"/>
              <w:spacing w:line="240" w:lineRule="auto"/>
              <w:jc w:val="center"/>
              <w:rPr>
                <w:sz w:val="20"/>
                <w:szCs w:val="16"/>
              </w:rPr>
            </w:pPr>
            <w:r w:rsidRPr="00D14384">
              <w:rPr>
                <w:sz w:val="20"/>
                <w:szCs w:val="16"/>
              </w:rPr>
              <w:t>86.4</w:t>
            </w:r>
          </w:p>
        </w:tc>
        <w:tc>
          <w:tcPr>
            <w:tcW w:w="428" w:type="dxa"/>
            <w:tcBorders>
              <w:top w:val="nil"/>
              <w:left w:val="nil"/>
              <w:bottom w:val="nil"/>
              <w:right w:val="nil"/>
            </w:tcBorders>
            <w:shd w:val="clear" w:color="auto" w:fill="auto"/>
            <w:noWrap/>
            <w:vAlign w:val="center"/>
            <w:hideMark/>
          </w:tcPr>
          <w:p w14:paraId="07821613" w14:textId="77777777" w:rsidR="002D558C" w:rsidRPr="00D14384" w:rsidRDefault="002D558C" w:rsidP="009427CF">
            <w:pPr>
              <w:keepLines/>
              <w:snapToGrid w:val="0"/>
              <w:spacing w:line="240" w:lineRule="auto"/>
              <w:jc w:val="center"/>
              <w:rPr>
                <w:sz w:val="20"/>
                <w:szCs w:val="16"/>
              </w:rPr>
            </w:pPr>
            <w:r w:rsidRPr="00D14384">
              <w:rPr>
                <w:sz w:val="20"/>
                <w:szCs w:val="16"/>
              </w:rPr>
              <w:t>89.4</w:t>
            </w:r>
          </w:p>
        </w:tc>
        <w:tc>
          <w:tcPr>
            <w:tcW w:w="428" w:type="dxa"/>
            <w:tcBorders>
              <w:top w:val="nil"/>
              <w:left w:val="nil"/>
              <w:bottom w:val="nil"/>
              <w:right w:val="nil"/>
            </w:tcBorders>
            <w:shd w:val="clear" w:color="auto" w:fill="auto"/>
            <w:noWrap/>
            <w:vAlign w:val="center"/>
            <w:hideMark/>
          </w:tcPr>
          <w:p w14:paraId="24957E18" w14:textId="77777777" w:rsidR="002D558C" w:rsidRPr="00D14384" w:rsidRDefault="002D558C" w:rsidP="009427CF">
            <w:pPr>
              <w:keepLines/>
              <w:snapToGrid w:val="0"/>
              <w:spacing w:line="240" w:lineRule="auto"/>
              <w:jc w:val="center"/>
              <w:rPr>
                <w:sz w:val="20"/>
                <w:szCs w:val="16"/>
              </w:rPr>
            </w:pPr>
            <w:r w:rsidRPr="00D14384">
              <w:rPr>
                <w:sz w:val="20"/>
                <w:szCs w:val="16"/>
              </w:rPr>
              <w:t>81.7</w:t>
            </w:r>
          </w:p>
        </w:tc>
        <w:tc>
          <w:tcPr>
            <w:tcW w:w="425" w:type="dxa"/>
            <w:tcBorders>
              <w:top w:val="nil"/>
              <w:left w:val="nil"/>
              <w:bottom w:val="nil"/>
              <w:right w:val="nil"/>
            </w:tcBorders>
            <w:shd w:val="clear" w:color="auto" w:fill="auto"/>
            <w:noWrap/>
            <w:vAlign w:val="center"/>
            <w:hideMark/>
          </w:tcPr>
          <w:p w14:paraId="1613121F" w14:textId="77777777" w:rsidR="002D558C" w:rsidRPr="00D14384" w:rsidRDefault="002D558C" w:rsidP="009427CF">
            <w:pPr>
              <w:keepLines/>
              <w:snapToGrid w:val="0"/>
              <w:spacing w:line="240" w:lineRule="auto"/>
              <w:jc w:val="center"/>
              <w:rPr>
                <w:sz w:val="20"/>
                <w:szCs w:val="16"/>
              </w:rPr>
            </w:pPr>
          </w:p>
        </w:tc>
        <w:tc>
          <w:tcPr>
            <w:tcW w:w="429" w:type="dxa"/>
            <w:tcBorders>
              <w:top w:val="nil"/>
              <w:left w:val="nil"/>
              <w:bottom w:val="nil"/>
              <w:right w:val="nil"/>
            </w:tcBorders>
            <w:shd w:val="clear" w:color="auto" w:fill="auto"/>
            <w:noWrap/>
            <w:vAlign w:val="center"/>
            <w:hideMark/>
          </w:tcPr>
          <w:p w14:paraId="74AAF9F6"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5E44563D" w14:textId="77777777" w:rsidR="002D558C" w:rsidRPr="00D14384" w:rsidRDefault="002D558C" w:rsidP="009427CF">
            <w:pPr>
              <w:keepLines/>
              <w:snapToGrid w:val="0"/>
              <w:spacing w:line="240" w:lineRule="auto"/>
              <w:jc w:val="center"/>
              <w:rPr>
                <w:sz w:val="20"/>
                <w:szCs w:val="16"/>
              </w:rPr>
            </w:pPr>
            <w:r w:rsidRPr="00D14384">
              <w:rPr>
                <w:sz w:val="20"/>
                <w:szCs w:val="16"/>
              </w:rPr>
              <w:t>80.8</w:t>
            </w:r>
          </w:p>
        </w:tc>
        <w:tc>
          <w:tcPr>
            <w:tcW w:w="425" w:type="dxa"/>
            <w:tcBorders>
              <w:top w:val="nil"/>
              <w:left w:val="nil"/>
              <w:bottom w:val="nil"/>
              <w:right w:val="nil"/>
            </w:tcBorders>
            <w:shd w:val="clear" w:color="auto" w:fill="auto"/>
            <w:noWrap/>
            <w:vAlign w:val="center"/>
            <w:hideMark/>
          </w:tcPr>
          <w:p w14:paraId="7EAD565F" w14:textId="77777777" w:rsidR="002D558C" w:rsidRPr="00D14384" w:rsidRDefault="002D558C" w:rsidP="009427CF">
            <w:pPr>
              <w:keepLines/>
              <w:snapToGrid w:val="0"/>
              <w:spacing w:line="240" w:lineRule="auto"/>
              <w:jc w:val="center"/>
              <w:rPr>
                <w:sz w:val="20"/>
                <w:szCs w:val="16"/>
              </w:rPr>
            </w:pPr>
            <w:r w:rsidRPr="00D14384">
              <w:rPr>
                <w:sz w:val="20"/>
                <w:szCs w:val="16"/>
              </w:rPr>
              <w:t>90.5</w:t>
            </w:r>
          </w:p>
        </w:tc>
      </w:tr>
      <w:tr w:rsidR="002D558C" w:rsidRPr="00D14384" w14:paraId="23636EB8" w14:textId="77777777" w:rsidTr="009427CF">
        <w:trPr>
          <w:trHeight w:val="377"/>
        </w:trPr>
        <w:tc>
          <w:tcPr>
            <w:tcW w:w="8675" w:type="dxa"/>
            <w:gridSpan w:val="18"/>
            <w:tcBorders>
              <w:top w:val="nil"/>
              <w:left w:val="nil"/>
              <w:bottom w:val="nil"/>
              <w:right w:val="nil"/>
            </w:tcBorders>
            <w:shd w:val="clear" w:color="auto" w:fill="auto"/>
            <w:noWrap/>
            <w:vAlign w:val="center"/>
            <w:hideMark/>
          </w:tcPr>
          <w:p w14:paraId="15F6428A" w14:textId="77777777" w:rsidR="002D558C" w:rsidRPr="00D14384" w:rsidRDefault="002D558C" w:rsidP="009427CF">
            <w:pPr>
              <w:keepLines/>
              <w:snapToGrid w:val="0"/>
              <w:spacing w:line="240" w:lineRule="auto"/>
              <w:rPr>
                <w:sz w:val="20"/>
                <w:szCs w:val="18"/>
              </w:rPr>
            </w:pPr>
            <w:r w:rsidRPr="00D14384">
              <w:rPr>
                <w:b/>
                <w:sz w:val="20"/>
                <w:szCs w:val="18"/>
              </w:rPr>
              <w:t>Coulombic efficiency (%)</w:t>
            </w:r>
          </w:p>
        </w:tc>
      </w:tr>
      <w:tr w:rsidR="002D558C" w:rsidRPr="00D14384" w14:paraId="6A501B5B" w14:textId="77777777" w:rsidTr="009427CF">
        <w:trPr>
          <w:trHeight w:val="377"/>
        </w:trPr>
        <w:tc>
          <w:tcPr>
            <w:tcW w:w="1430" w:type="dxa"/>
            <w:tcBorders>
              <w:top w:val="nil"/>
              <w:left w:val="nil"/>
              <w:bottom w:val="nil"/>
              <w:right w:val="nil"/>
            </w:tcBorders>
            <w:shd w:val="clear" w:color="auto" w:fill="auto"/>
            <w:noWrap/>
            <w:vAlign w:val="center"/>
            <w:hideMark/>
          </w:tcPr>
          <w:p w14:paraId="389B405E" w14:textId="77777777" w:rsidR="002D558C" w:rsidRPr="00D14384" w:rsidRDefault="002D558C" w:rsidP="009427CF">
            <w:pPr>
              <w:keepLines/>
              <w:snapToGrid w:val="0"/>
              <w:spacing w:line="240" w:lineRule="auto"/>
              <w:rPr>
                <w:sz w:val="20"/>
                <w:szCs w:val="18"/>
              </w:rPr>
            </w:pPr>
            <w:r w:rsidRPr="00D14384">
              <w:rPr>
                <w:sz w:val="20"/>
                <w:szCs w:val="18"/>
              </w:rPr>
              <w:t>Acetate</w:t>
            </w:r>
          </w:p>
        </w:tc>
        <w:tc>
          <w:tcPr>
            <w:tcW w:w="417" w:type="dxa"/>
            <w:tcBorders>
              <w:top w:val="nil"/>
              <w:left w:val="nil"/>
              <w:bottom w:val="nil"/>
              <w:right w:val="nil"/>
            </w:tcBorders>
            <w:shd w:val="clear" w:color="auto" w:fill="auto"/>
            <w:noWrap/>
            <w:vAlign w:val="center"/>
            <w:hideMark/>
          </w:tcPr>
          <w:p w14:paraId="3701207A"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0.1</w:t>
            </w:r>
          </w:p>
        </w:tc>
        <w:tc>
          <w:tcPr>
            <w:tcW w:w="425" w:type="dxa"/>
            <w:tcBorders>
              <w:top w:val="nil"/>
              <w:left w:val="nil"/>
              <w:bottom w:val="nil"/>
              <w:right w:val="nil"/>
            </w:tcBorders>
            <w:shd w:val="clear" w:color="auto" w:fill="auto"/>
            <w:noWrap/>
            <w:vAlign w:val="center"/>
            <w:hideMark/>
          </w:tcPr>
          <w:p w14:paraId="4147C95A"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0.1</w:t>
            </w:r>
          </w:p>
        </w:tc>
        <w:tc>
          <w:tcPr>
            <w:tcW w:w="426" w:type="dxa"/>
            <w:tcBorders>
              <w:top w:val="nil"/>
              <w:left w:val="nil"/>
              <w:bottom w:val="nil"/>
              <w:right w:val="nil"/>
            </w:tcBorders>
            <w:shd w:val="clear" w:color="auto" w:fill="auto"/>
            <w:noWrap/>
            <w:vAlign w:val="center"/>
            <w:hideMark/>
          </w:tcPr>
          <w:p w14:paraId="7A046426" w14:textId="77777777" w:rsidR="002D558C" w:rsidRPr="00D14384" w:rsidRDefault="002D558C" w:rsidP="009427CF">
            <w:pPr>
              <w:keepLines/>
              <w:snapToGrid w:val="0"/>
              <w:spacing w:line="240" w:lineRule="auto"/>
              <w:jc w:val="center"/>
              <w:rPr>
                <w:sz w:val="20"/>
                <w:szCs w:val="16"/>
              </w:rPr>
            </w:pPr>
            <w:r w:rsidRPr="00D14384">
              <w:rPr>
                <w:sz w:val="20"/>
                <w:szCs w:val="16"/>
              </w:rPr>
              <w:t>1.8</w:t>
            </w:r>
          </w:p>
        </w:tc>
        <w:tc>
          <w:tcPr>
            <w:tcW w:w="425" w:type="dxa"/>
            <w:tcBorders>
              <w:top w:val="nil"/>
              <w:left w:val="nil"/>
              <w:bottom w:val="nil"/>
              <w:right w:val="nil"/>
            </w:tcBorders>
            <w:shd w:val="clear" w:color="auto" w:fill="auto"/>
            <w:noWrap/>
            <w:vAlign w:val="center"/>
            <w:hideMark/>
          </w:tcPr>
          <w:p w14:paraId="1582F992"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0.5</w:t>
            </w:r>
          </w:p>
        </w:tc>
        <w:tc>
          <w:tcPr>
            <w:tcW w:w="425" w:type="dxa"/>
            <w:tcBorders>
              <w:top w:val="nil"/>
              <w:left w:val="nil"/>
              <w:bottom w:val="nil"/>
              <w:right w:val="nil"/>
            </w:tcBorders>
            <w:shd w:val="clear" w:color="auto" w:fill="auto"/>
            <w:noWrap/>
            <w:vAlign w:val="center"/>
            <w:hideMark/>
          </w:tcPr>
          <w:p w14:paraId="5CAD21F1"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0.8</w:t>
            </w:r>
          </w:p>
        </w:tc>
        <w:tc>
          <w:tcPr>
            <w:tcW w:w="425" w:type="dxa"/>
            <w:tcBorders>
              <w:top w:val="nil"/>
              <w:left w:val="nil"/>
              <w:bottom w:val="nil"/>
              <w:right w:val="nil"/>
            </w:tcBorders>
            <w:shd w:val="clear" w:color="auto" w:fill="auto"/>
            <w:noWrap/>
            <w:vAlign w:val="center"/>
            <w:hideMark/>
          </w:tcPr>
          <w:p w14:paraId="78FBF476" w14:textId="77777777" w:rsidR="002D558C" w:rsidRPr="00D14384" w:rsidRDefault="002D558C" w:rsidP="009427CF">
            <w:pPr>
              <w:keepLines/>
              <w:snapToGrid w:val="0"/>
              <w:spacing w:line="240" w:lineRule="auto"/>
              <w:jc w:val="center"/>
              <w:rPr>
                <w:sz w:val="20"/>
                <w:szCs w:val="16"/>
              </w:rPr>
            </w:pPr>
            <w:r w:rsidRPr="00D14384">
              <w:rPr>
                <w:sz w:val="20"/>
                <w:szCs w:val="16"/>
              </w:rPr>
              <w:t>4.6</w:t>
            </w:r>
          </w:p>
        </w:tc>
        <w:tc>
          <w:tcPr>
            <w:tcW w:w="429" w:type="dxa"/>
            <w:tcBorders>
              <w:top w:val="nil"/>
              <w:left w:val="nil"/>
              <w:bottom w:val="nil"/>
              <w:right w:val="nil"/>
            </w:tcBorders>
            <w:shd w:val="clear" w:color="auto" w:fill="auto"/>
            <w:noWrap/>
            <w:vAlign w:val="center"/>
            <w:hideMark/>
          </w:tcPr>
          <w:p w14:paraId="74DE51DE" w14:textId="77777777" w:rsidR="002D558C" w:rsidRPr="00D14384" w:rsidRDefault="002D558C" w:rsidP="009427CF">
            <w:pPr>
              <w:keepLines/>
              <w:snapToGrid w:val="0"/>
              <w:spacing w:line="240" w:lineRule="auto"/>
              <w:jc w:val="center"/>
              <w:rPr>
                <w:sz w:val="20"/>
                <w:szCs w:val="16"/>
              </w:rPr>
            </w:pPr>
            <w:r w:rsidRPr="00D14384">
              <w:rPr>
                <w:sz w:val="20"/>
                <w:szCs w:val="16"/>
              </w:rPr>
              <w:t>5.3</w:t>
            </w:r>
          </w:p>
        </w:tc>
        <w:tc>
          <w:tcPr>
            <w:tcW w:w="428" w:type="dxa"/>
            <w:tcBorders>
              <w:top w:val="nil"/>
              <w:left w:val="nil"/>
              <w:bottom w:val="nil"/>
              <w:right w:val="nil"/>
            </w:tcBorders>
            <w:shd w:val="clear" w:color="auto" w:fill="auto"/>
            <w:noWrap/>
            <w:vAlign w:val="center"/>
            <w:hideMark/>
          </w:tcPr>
          <w:p w14:paraId="0FF7AD5C" w14:textId="77777777" w:rsidR="002D558C" w:rsidRPr="00D14384" w:rsidRDefault="002D558C" w:rsidP="009427CF">
            <w:pPr>
              <w:keepLines/>
              <w:snapToGrid w:val="0"/>
              <w:spacing w:line="240" w:lineRule="auto"/>
              <w:jc w:val="center"/>
              <w:rPr>
                <w:sz w:val="20"/>
                <w:szCs w:val="16"/>
              </w:rPr>
            </w:pPr>
            <w:r w:rsidRPr="00D14384">
              <w:rPr>
                <w:sz w:val="20"/>
                <w:szCs w:val="16"/>
              </w:rPr>
              <w:t>1.8</w:t>
            </w:r>
          </w:p>
        </w:tc>
        <w:tc>
          <w:tcPr>
            <w:tcW w:w="428" w:type="dxa"/>
            <w:tcBorders>
              <w:top w:val="nil"/>
              <w:left w:val="nil"/>
              <w:bottom w:val="nil"/>
              <w:right w:val="nil"/>
            </w:tcBorders>
            <w:shd w:val="clear" w:color="auto" w:fill="auto"/>
            <w:noWrap/>
            <w:vAlign w:val="center"/>
            <w:hideMark/>
          </w:tcPr>
          <w:p w14:paraId="2BC251B4"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0.1</w:t>
            </w:r>
          </w:p>
        </w:tc>
        <w:tc>
          <w:tcPr>
            <w:tcW w:w="428" w:type="dxa"/>
            <w:tcBorders>
              <w:top w:val="nil"/>
              <w:left w:val="nil"/>
              <w:bottom w:val="nil"/>
              <w:right w:val="nil"/>
            </w:tcBorders>
            <w:shd w:val="clear" w:color="auto" w:fill="auto"/>
            <w:noWrap/>
            <w:vAlign w:val="center"/>
            <w:hideMark/>
          </w:tcPr>
          <w:p w14:paraId="58C53178" w14:textId="77777777" w:rsidR="002D558C" w:rsidRPr="00D14384" w:rsidRDefault="002D558C" w:rsidP="009427CF">
            <w:pPr>
              <w:keepLines/>
              <w:snapToGrid w:val="0"/>
              <w:spacing w:line="240" w:lineRule="auto"/>
              <w:jc w:val="center"/>
              <w:rPr>
                <w:sz w:val="20"/>
                <w:szCs w:val="16"/>
              </w:rPr>
            </w:pPr>
            <w:r w:rsidRPr="00D14384">
              <w:rPr>
                <w:sz w:val="20"/>
                <w:szCs w:val="16"/>
              </w:rPr>
              <w:t>6.7</w:t>
            </w:r>
          </w:p>
        </w:tc>
        <w:tc>
          <w:tcPr>
            <w:tcW w:w="429" w:type="dxa"/>
            <w:tcBorders>
              <w:top w:val="nil"/>
              <w:left w:val="nil"/>
              <w:bottom w:val="nil"/>
              <w:right w:val="nil"/>
            </w:tcBorders>
            <w:shd w:val="clear" w:color="auto" w:fill="auto"/>
            <w:noWrap/>
            <w:vAlign w:val="center"/>
            <w:hideMark/>
          </w:tcPr>
          <w:p w14:paraId="2007A296" w14:textId="77777777" w:rsidR="002D558C" w:rsidRPr="00D14384" w:rsidRDefault="002D558C" w:rsidP="009427CF">
            <w:pPr>
              <w:keepLines/>
              <w:snapToGrid w:val="0"/>
              <w:spacing w:line="240" w:lineRule="auto"/>
              <w:jc w:val="center"/>
              <w:rPr>
                <w:sz w:val="20"/>
                <w:szCs w:val="16"/>
              </w:rPr>
            </w:pPr>
            <w:r w:rsidRPr="00D14384">
              <w:rPr>
                <w:sz w:val="20"/>
                <w:szCs w:val="16"/>
              </w:rPr>
              <w:t>7.5</w:t>
            </w:r>
          </w:p>
        </w:tc>
        <w:tc>
          <w:tcPr>
            <w:tcW w:w="428" w:type="dxa"/>
            <w:tcBorders>
              <w:top w:val="nil"/>
              <w:left w:val="nil"/>
              <w:bottom w:val="nil"/>
              <w:right w:val="nil"/>
            </w:tcBorders>
            <w:shd w:val="clear" w:color="auto" w:fill="auto"/>
            <w:noWrap/>
            <w:vAlign w:val="center"/>
            <w:hideMark/>
          </w:tcPr>
          <w:p w14:paraId="5FF50DBC" w14:textId="77777777" w:rsidR="002D558C" w:rsidRPr="00D14384" w:rsidRDefault="002D558C" w:rsidP="009427CF">
            <w:pPr>
              <w:keepLines/>
              <w:snapToGrid w:val="0"/>
              <w:spacing w:line="240" w:lineRule="auto"/>
              <w:jc w:val="center"/>
              <w:rPr>
                <w:sz w:val="20"/>
                <w:szCs w:val="16"/>
              </w:rPr>
            </w:pPr>
            <w:r w:rsidRPr="00D14384">
              <w:rPr>
                <w:sz w:val="20"/>
                <w:szCs w:val="16"/>
              </w:rPr>
              <w:t>10.5</w:t>
            </w:r>
          </w:p>
        </w:tc>
        <w:tc>
          <w:tcPr>
            <w:tcW w:w="428" w:type="dxa"/>
            <w:tcBorders>
              <w:top w:val="nil"/>
              <w:left w:val="nil"/>
              <w:bottom w:val="nil"/>
              <w:right w:val="nil"/>
            </w:tcBorders>
            <w:shd w:val="clear" w:color="auto" w:fill="auto"/>
            <w:noWrap/>
            <w:vAlign w:val="center"/>
            <w:hideMark/>
          </w:tcPr>
          <w:p w14:paraId="571CDCCE" w14:textId="77777777" w:rsidR="002D558C" w:rsidRPr="00D14384" w:rsidRDefault="002D558C" w:rsidP="009427CF">
            <w:pPr>
              <w:keepLines/>
              <w:snapToGrid w:val="0"/>
              <w:spacing w:line="240" w:lineRule="auto"/>
              <w:jc w:val="center"/>
              <w:rPr>
                <w:sz w:val="20"/>
                <w:szCs w:val="16"/>
              </w:rPr>
            </w:pPr>
            <w:r w:rsidRPr="00D14384">
              <w:rPr>
                <w:sz w:val="20"/>
                <w:szCs w:val="16"/>
              </w:rPr>
              <w:t>8.9</w:t>
            </w:r>
          </w:p>
        </w:tc>
        <w:tc>
          <w:tcPr>
            <w:tcW w:w="425" w:type="dxa"/>
            <w:tcBorders>
              <w:top w:val="nil"/>
              <w:left w:val="nil"/>
              <w:bottom w:val="nil"/>
              <w:right w:val="nil"/>
            </w:tcBorders>
            <w:shd w:val="clear" w:color="auto" w:fill="auto"/>
            <w:noWrap/>
            <w:vAlign w:val="center"/>
            <w:hideMark/>
          </w:tcPr>
          <w:p w14:paraId="094FC02D" w14:textId="77777777" w:rsidR="002D558C" w:rsidRPr="00D14384" w:rsidRDefault="002D558C" w:rsidP="009427CF">
            <w:pPr>
              <w:keepLines/>
              <w:snapToGrid w:val="0"/>
              <w:spacing w:line="240" w:lineRule="auto"/>
              <w:jc w:val="center"/>
              <w:rPr>
                <w:sz w:val="20"/>
                <w:szCs w:val="16"/>
              </w:rPr>
            </w:pPr>
            <w:r w:rsidRPr="00D14384">
              <w:rPr>
                <w:sz w:val="20"/>
                <w:szCs w:val="16"/>
              </w:rPr>
              <w:t>10.1</w:t>
            </w:r>
          </w:p>
        </w:tc>
        <w:tc>
          <w:tcPr>
            <w:tcW w:w="429" w:type="dxa"/>
            <w:tcBorders>
              <w:top w:val="nil"/>
              <w:left w:val="nil"/>
              <w:bottom w:val="nil"/>
              <w:right w:val="nil"/>
            </w:tcBorders>
            <w:shd w:val="clear" w:color="auto" w:fill="auto"/>
            <w:noWrap/>
            <w:vAlign w:val="center"/>
            <w:hideMark/>
          </w:tcPr>
          <w:p w14:paraId="538C430E" w14:textId="77777777" w:rsidR="002D558C" w:rsidRPr="00D14384" w:rsidRDefault="002D558C" w:rsidP="009427CF">
            <w:pPr>
              <w:keepLines/>
              <w:snapToGrid w:val="0"/>
              <w:spacing w:line="240" w:lineRule="auto"/>
              <w:jc w:val="center"/>
              <w:rPr>
                <w:sz w:val="20"/>
                <w:szCs w:val="16"/>
              </w:rPr>
            </w:pPr>
            <w:r w:rsidRPr="00D14384">
              <w:rPr>
                <w:sz w:val="20"/>
                <w:szCs w:val="16"/>
              </w:rPr>
              <w:t>9.2</w:t>
            </w:r>
          </w:p>
        </w:tc>
        <w:tc>
          <w:tcPr>
            <w:tcW w:w="425" w:type="dxa"/>
            <w:tcBorders>
              <w:top w:val="nil"/>
              <w:left w:val="nil"/>
              <w:bottom w:val="nil"/>
              <w:right w:val="nil"/>
            </w:tcBorders>
            <w:shd w:val="clear" w:color="auto" w:fill="auto"/>
            <w:noWrap/>
            <w:vAlign w:val="center"/>
            <w:hideMark/>
          </w:tcPr>
          <w:p w14:paraId="46F55F94" w14:textId="77777777" w:rsidR="002D558C" w:rsidRPr="00D14384" w:rsidRDefault="002D558C" w:rsidP="009427CF">
            <w:pPr>
              <w:keepLines/>
              <w:snapToGrid w:val="0"/>
              <w:spacing w:line="240" w:lineRule="auto"/>
              <w:jc w:val="center"/>
              <w:rPr>
                <w:sz w:val="20"/>
                <w:szCs w:val="16"/>
              </w:rPr>
            </w:pPr>
            <w:r w:rsidRPr="00D14384">
              <w:rPr>
                <w:sz w:val="20"/>
                <w:szCs w:val="16"/>
              </w:rPr>
              <w:t>9.1</w:t>
            </w:r>
          </w:p>
        </w:tc>
        <w:tc>
          <w:tcPr>
            <w:tcW w:w="425" w:type="dxa"/>
            <w:tcBorders>
              <w:top w:val="nil"/>
              <w:left w:val="nil"/>
              <w:bottom w:val="nil"/>
              <w:right w:val="nil"/>
            </w:tcBorders>
            <w:shd w:val="clear" w:color="auto" w:fill="auto"/>
            <w:noWrap/>
            <w:vAlign w:val="center"/>
            <w:hideMark/>
          </w:tcPr>
          <w:p w14:paraId="4E609565"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0.8</w:t>
            </w:r>
          </w:p>
        </w:tc>
      </w:tr>
      <w:tr w:rsidR="002D558C" w:rsidRPr="00D14384" w14:paraId="6FD24B72" w14:textId="77777777" w:rsidTr="009427CF">
        <w:trPr>
          <w:trHeight w:val="377"/>
        </w:trPr>
        <w:tc>
          <w:tcPr>
            <w:tcW w:w="1430" w:type="dxa"/>
            <w:tcBorders>
              <w:top w:val="nil"/>
              <w:left w:val="nil"/>
              <w:bottom w:val="nil"/>
              <w:right w:val="nil"/>
            </w:tcBorders>
            <w:shd w:val="clear" w:color="auto" w:fill="auto"/>
            <w:noWrap/>
            <w:vAlign w:val="center"/>
            <w:hideMark/>
          </w:tcPr>
          <w:p w14:paraId="1E365FD5" w14:textId="77777777" w:rsidR="002D558C" w:rsidRPr="00D14384" w:rsidRDefault="002D558C" w:rsidP="009427CF">
            <w:pPr>
              <w:keepLines/>
              <w:snapToGrid w:val="0"/>
              <w:spacing w:line="240" w:lineRule="auto"/>
              <w:rPr>
                <w:sz w:val="20"/>
                <w:szCs w:val="18"/>
              </w:rPr>
            </w:pPr>
            <w:r w:rsidRPr="00D14384">
              <w:rPr>
                <w:sz w:val="20"/>
                <w:szCs w:val="18"/>
              </w:rPr>
              <w:t>Wastewater</w:t>
            </w:r>
          </w:p>
        </w:tc>
        <w:tc>
          <w:tcPr>
            <w:tcW w:w="417" w:type="dxa"/>
            <w:tcBorders>
              <w:top w:val="nil"/>
              <w:left w:val="nil"/>
              <w:bottom w:val="nil"/>
              <w:right w:val="nil"/>
            </w:tcBorders>
            <w:shd w:val="clear" w:color="auto" w:fill="auto"/>
            <w:noWrap/>
            <w:vAlign w:val="center"/>
            <w:hideMark/>
          </w:tcPr>
          <w:p w14:paraId="270725D4"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5842F960" w14:textId="77777777" w:rsidR="002D558C" w:rsidRPr="00D14384" w:rsidRDefault="002D558C" w:rsidP="009427CF">
            <w:pPr>
              <w:keepLines/>
              <w:snapToGrid w:val="0"/>
              <w:spacing w:line="240" w:lineRule="auto"/>
              <w:jc w:val="center"/>
              <w:rPr>
                <w:sz w:val="20"/>
                <w:szCs w:val="16"/>
              </w:rPr>
            </w:pPr>
          </w:p>
        </w:tc>
        <w:tc>
          <w:tcPr>
            <w:tcW w:w="426" w:type="dxa"/>
            <w:tcBorders>
              <w:top w:val="nil"/>
              <w:left w:val="nil"/>
              <w:bottom w:val="nil"/>
              <w:right w:val="nil"/>
            </w:tcBorders>
            <w:shd w:val="clear" w:color="auto" w:fill="auto"/>
            <w:noWrap/>
            <w:vAlign w:val="center"/>
            <w:hideMark/>
          </w:tcPr>
          <w:p w14:paraId="1C65BD08"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061197A1"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6BF2A60C"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56D8FACB" w14:textId="77777777" w:rsidR="002D558C" w:rsidRPr="00D14384" w:rsidRDefault="002D558C" w:rsidP="009427CF">
            <w:pPr>
              <w:keepLines/>
              <w:snapToGrid w:val="0"/>
              <w:spacing w:line="240" w:lineRule="auto"/>
              <w:jc w:val="center"/>
              <w:rPr>
                <w:sz w:val="20"/>
                <w:szCs w:val="16"/>
              </w:rPr>
            </w:pPr>
            <w:r w:rsidRPr="00D14384">
              <w:rPr>
                <w:sz w:val="20"/>
                <w:szCs w:val="16"/>
              </w:rPr>
              <w:t>3.6</w:t>
            </w:r>
          </w:p>
        </w:tc>
        <w:tc>
          <w:tcPr>
            <w:tcW w:w="429" w:type="dxa"/>
            <w:tcBorders>
              <w:top w:val="nil"/>
              <w:left w:val="nil"/>
              <w:bottom w:val="nil"/>
              <w:right w:val="nil"/>
            </w:tcBorders>
            <w:shd w:val="clear" w:color="auto" w:fill="auto"/>
            <w:noWrap/>
            <w:vAlign w:val="center"/>
            <w:hideMark/>
          </w:tcPr>
          <w:p w14:paraId="5D1A0EE4"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0.1</w:t>
            </w:r>
          </w:p>
        </w:tc>
        <w:tc>
          <w:tcPr>
            <w:tcW w:w="428" w:type="dxa"/>
            <w:tcBorders>
              <w:top w:val="nil"/>
              <w:left w:val="nil"/>
              <w:bottom w:val="nil"/>
              <w:right w:val="nil"/>
            </w:tcBorders>
            <w:shd w:val="clear" w:color="auto" w:fill="auto"/>
            <w:noWrap/>
            <w:vAlign w:val="center"/>
            <w:hideMark/>
          </w:tcPr>
          <w:p w14:paraId="4BBA362A" w14:textId="77777777" w:rsidR="002D558C" w:rsidRPr="00D14384" w:rsidRDefault="002D558C" w:rsidP="009427CF">
            <w:pPr>
              <w:keepLines/>
              <w:snapToGrid w:val="0"/>
              <w:spacing w:line="240" w:lineRule="auto"/>
              <w:jc w:val="center"/>
              <w:rPr>
                <w:sz w:val="20"/>
                <w:szCs w:val="16"/>
              </w:rPr>
            </w:pPr>
          </w:p>
        </w:tc>
        <w:tc>
          <w:tcPr>
            <w:tcW w:w="428" w:type="dxa"/>
            <w:tcBorders>
              <w:top w:val="nil"/>
              <w:left w:val="nil"/>
              <w:bottom w:val="nil"/>
              <w:right w:val="nil"/>
            </w:tcBorders>
            <w:shd w:val="clear" w:color="auto" w:fill="auto"/>
            <w:noWrap/>
            <w:vAlign w:val="center"/>
            <w:hideMark/>
          </w:tcPr>
          <w:p w14:paraId="41BCD455" w14:textId="77777777" w:rsidR="002D558C" w:rsidRPr="00D14384" w:rsidRDefault="002D558C" w:rsidP="009427CF">
            <w:pPr>
              <w:keepLines/>
              <w:snapToGrid w:val="0"/>
              <w:spacing w:line="240" w:lineRule="auto"/>
              <w:jc w:val="center"/>
              <w:rPr>
                <w:sz w:val="20"/>
                <w:szCs w:val="16"/>
              </w:rPr>
            </w:pPr>
          </w:p>
        </w:tc>
        <w:tc>
          <w:tcPr>
            <w:tcW w:w="428" w:type="dxa"/>
            <w:tcBorders>
              <w:top w:val="nil"/>
              <w:left w:val="nil"/>
              <w:bottom w:val="nil"/>
              <w:right w:val="nil"/>
            </w:tcBorders>
            <w:shd w:val="clear" w:color="auto" w:fill="auto"/>
            <w:noWrap/>
            <w:vAlign w:val="center"/>
            <w:hideMark/>
          </w:tcPr>
          <w:p w14:paraId="042A8A03"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0.3</w:t>
            </w:r>
          </w:p>
        </w:tc>
        <w:tc>
          <w:tcPr>
            <w:tcW w:w="429" w:type="dxa"/>
            <w:tcBorders>
              <w:top w:val="nil"/>
              <w:left w:val="nil"/>
              <w:bottom w:val="nil"/>
              <w:right w:val="nil"/>
            </w:tcBorders>
            <w:shd w:val="clear" w:color="auto" w:fill="auto"/>
            <w:noWrap/>
            <w:vAlign w:val="center"/>
            <w:hideMark/>
          </w:tcPr>
          <w:p w14:paraId="6EFD535A"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0.2</w:t>
            </w:r>
          </w:p>
        </w:tc>
        <w:tc>
          <w:tcPr>
            <w:tcW w:w="428" w:type="dxa"/>
            <w:tcBorders>
              <w:top w:val="nil"/>
              <w:left w:val="nil"/>
              <w:bottom w:val="nil"/>
              <w:right w:val="nil"/>
            </w:tcBorders>
            <w:shd w:val="clear" w:color="auto" w:fill="auto"/>
            <w:noWrap/>
            <w:vAlign w:val="center"/>
            <w:hideMark/>
          </w:tcPr>
          <w:p w14:paraId="0773A1BA" w14:textId="77777777" w:rsidR="002D558C" w:rsidRPr="00D14384" w:rsidRDefault="002D558C" w:rsidP="009427CF">
            <w:pPr>
              <w:keepLines/>
              <w:snapToGrid w:val="0"/>
              <w:spacing w:line="240" w:lineRule="auto"/>
              <w:jc w:val="center"/>
              <w:rPr>
                <w:sz w:val="20"/>
                <w:szCs w:val="16"/>
              </w:rPr>
            </w:pPr>
            <w:r w:rsidRPr="00D14384">
              <w:rPr>
                <w:sz w:val="20"/>
                <w:szCs w:val="16"/>
              </w:rPr>
              <w:t>9.4</w:t>
            </w:r>
          </w:p>
        </w:tc>
        <w:tc>
          <w:tcPr>
            <w:tcW w:w="428" w:type="dxa"/>
            <w:tcBorders>
              <w:top w:val="nil"/>
              <w:left w:val="nil"/>
              <w:bottom w:val="nil"/>
              <w:right w:val="nil"/>
            </w:tcBorders>
            <w:shd w:val="clear" w:color="auto" w:fill="auto"/>
            <w:noWrap/>
            <w:vAlign w:val="center"/>
            <w:hideMark/>
          </w:tcPr>
          <w:p w14:paraId="7A102420" w14:textId="77777777" w:rsidR="002D558C" w:rsidRPr="00D14384" w:rsidRDefault="002D558C" w:rsidP="009427CF">
            <w:pPr>
              <w:keepLines/>
              <w:snapToGrid w:val="0"/>
              <w:spacing w:line="240" w:lineRule="auto"/>
              <w:jc w:val="center"/>
              <w:rPr>
                <w:sz w:val="20"/>
                <w:szCs w:val="16"/>
              </w:rPr>
            </w:pPr>
            <w:r w:rsidRPr="00D14384">
              <w:rPr>
                <w:sz w:val="20"/>
                <w:szCs w:val="16"/>
              </w:rPr>
              <w:t>12.5</w:t>
            </w:r>
          </w:p>
        </w:tc>
        <w:tc>
          <w:tcPr>
            <w:tcW w:w="425" w:type="dxa"/>
            <w:tcBorders>
              <w:top w:val="nil"/>
              <w:left w:val="nil"/>
              <w:bottom w:val="nil"/>
              <w:right w:val="nil"/>
            </w:tcBorders>
            <w:shd w:val="clear" w:color="auto" w:fill="auto"/>
            <w:noWrap/>
            <w:vAlign w:val="center"/>
            <w:hideMark/>
          </w:tcPr>
          <w:p w14:paraId="5846CB5F" w14:textId="77777777" w:rsidR="002D558C" w:rsidRPr="00D14384" w:rsidRDefault="002D558C" w:rsidP="009427CF">
            <w:pPr>
              <w:keepLines/>
              <w:snapToGrid w:val="0"/>
              <w:spacing w:line="240" w:lineRule="auto"/>
              <w:jc w:val="center"/>
              <w:rPr>
                <w:sz w:val="20"/>
                <w:szCs w:val="16"/>
              </w:rPr>
            </w:pPr>
          </w:p>
        </w:tc>
        <w:tc>
          <w:tcPr>
            <w:tcW w:w="429" w:type="dxa"/>
            <w:tcBorders>
              <w:top w:val="nil"/>
              <w:left w:val="nil"/>
              <w:bottom w:val="nil"/>
              <w:right w:val="nil"/>
            </w:tcBorders>
            <w:shd w:val="clear" w:color="auto" w:fill="auto"/>
            <w:noWrap/>
            <w:vAlign w:val="center"/>
            <w:hideMark/>
          </w:tcPr>
          <w:p w14:paraId="2EF4DD25"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nil"/>
              <w:right w:val="nil"/>
            </w:tcBorders>
            <w:shd w:val="clear" w:color="auto" w:fill="auto"/>
            <w:noWrap/>
            <w:vAlign w:val="center"/>
            <w:hideMark/>
          </w:tcPr>
          <w:p w14:paraId="02D4A1EC" w14:textId="77777777" w:rsidR="002D558C" w:rsidRPr="00D14384" w:rsidRDefault="002D558C" w:rsidP="009427CF">
            <w:pPr>
              <w:keepLines/>
              <w:snapToGrid w:val="0"/>
              <w:spacing w:line="240" w:lineRule="auto"/>
              <w:jc w:val="center"/>
              <w:rPr>
                <w:sz w:val="20"/>
                <w:szCs w:val="16"/>
              </w:rPr>
            </w:pPr>
            <w:r w:rsidRPr="00D14384">
              <w:rPr>
                <w:sz w:val="20"/>
                <w:szCs w:val="16"/>
              </w:rPr>
              <w:t>10.4</w:t>
            </w:r>
          </w:p>
        </w:tc>
        <w:tc>
          <w:tcPr>
            <w:tcW w:w="425" w:type="dxa"/>
            <w:tcBorders>
              <w:top w:val="nil"/>
              <w:left w:val="nil"/>
              <w:bottom w:val="nil"/>
              <w:right w:val="nil"/>
            </w:tcBorders>
            <w:shd w:val="clear" w:color="auto" w:fill="auto"/>
            <w:noWrap/>
            <w:vAlign w:val="center"/>
            <w:hideMark/>
          </w:tcPr>
          <w:p w14:paraId="3254872B" w14:textId="77777777" w:rsidR="002D558C" w:rsidRPr="00D14384" w:rsidRDefault="002D558C" w:rsidP="009427CF">
            <w:pPr>
              <w:keepLines/>
              <w:snapToGrid w:val="0"/>
              <w:spacing w:line="240" w:lineRule="auto"/>
              <w:jc w:val="center"/>
              <w:rPr>
                <w:sz w:val="20"/>
                <w:szCs w:val="16"/>
              </w:rPr>
            </w:pPr>
            <w:r w:rsidRPr="00D14384">
              <w:rPr>
                <w:sz w:val="20"/>
                <w:szCs w:val="16"/>
              </w:rPr>
              <w:t>7.4</w:t>
            </w:r>
          </w:p>
        </w:tc>
      </w:tr>
      <w:tr w:rsidR="002D558C" w:rsidRPr="00D14384" w14:paraId="7143E435" w14:textId="77777777" w:rsidTr="009427CF">
        <w:trPr>
          <w:trHeight w:val="377"/>
        </w:trPr>
        <w:tc>
          <w:tcPr>
            <w:tcW w:w="1430" w:type="dxa"/>
            <w:tcBorders>
              <w:top w:val="nil"/>
              <w:left w:val="nil"/>
              <w:bottom w:val="single" w:sz="4" w:space="0" w:color="auto"/>
              <w:right w:val="nil"/>
            </w:tcBorders>
            <w:shd w:val="clear" w:color="auto" w:fill="auto"/>
            <w:noWrap/>
            <w:vAlign w:val="center"/>
            <w:hideMark/>
          </w:tcPr>
          <w:p w14:paraId="71A5488D" w14:textId="77777777" w:rsidR="002D558C" w:rsidRPr="00D14384" w:rsidRDefault="002D558C" w:rsidP="009427CF">
            <w:pPr>
              <w:keepLines/>
              <w:snapToGrid w:val="0"/>
              <w:spacing w:line="240" w:lineRule="auto"/>
              <w:rPr>
                <w:sz w:val="20"/>
                <w:szCs w:val="18"/>
              </w:rPr>
            </w:pPr>
            <w:r w:rsidRPr="00D14384">
              <w:rPr>
                <w:sz w:val="20"/>
                <w:szCs w:val="18"/>
              </w:rPr>
              <w:t>Starch</w:t>
            </w:r>
          </w:p>
        </w:tc>
        <w:tc>
          <w:tcPr>
            <w:tcW w:w="417" w:type="dxa"/>
            <w:tcBorders>
              <w:top w:val="nil"/>
              <w:left w:val="nil"/>
              <w:bottom w:val="single" w:sz="4" w:space="0" w:color="auto"/>
              <w:right w:val="nil"/>
            </w:tcBorders>
            <w:shd w:val="clear" w:color="auto" w:fill="auto"/>
            <w:noWrap/>
            <w:vAlign w:val="center"/>
            <w:hideMark/>
          </w:tcPr>
          <w:p w14:paraId="6CDD380A"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single" w:sz="4" w:space="0" w:color="auto"/>
              <w:right w:val="nil"/>
            </w:tcBorders>
            <w:shd w:val="clear" w:color="auto" w:fill="auto"/>
            <w:noWrap/>
            <w:vAlign w:val="center"/>
            <w:hideMark/>
          </w:tcPr>
          <w:p w14:paraId="7DBBCA58" w14:textId="77777777" w:rsidR="002D558C" w:rsidRPr="00D14384" w:rsidRDefault="002D558C" w:rsidP="009427CF">
            <w:pPr>
              <w:keepLines/>
              <w:snapToGrid w:val="0"/>
              <w:spacing w:line="240" w:lineRule="auto"/>
              <w:jc w:val="center"/>
              <w:rPr>
                <w:sz w:val="20"/>
                <w:szCs w:val="16"/>
              </w:rPr>
            </w:pPr>
          </w:p>
        </w:tc>
        <w:tc>
          <w:tcPr>
            <w:tcW w:w="426" w:type="dxa"/>
            <w:tcBorders>
              <w:top w:val="nil"/>
              <w:left w:val="nil"/>
              <w:bottom w:val="single" w:sz="4" w:space="0" w:color="auto"/>
              <w:right w:val="nil"/>
            </w:tcBorders>
            <w:shd w:val="clear" w:color="auto" w:fill="auto"/>
            <w:noWrap/>
            <w:vAlign w:val="center"/>
            <w:hideMark/>
          </w:tcPr>
          <w:p w14:paraId="284E95C5"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single" w:sz="4" w:space="0" w:color="auto"/>
              <w:right w:val="nil"/>
            </w:tcBorders>
            <w:shd w:val="clear" w:color="auto" w:fill="auto"/>
            <w:noWrap/>
            <w:vAlign w:val="center"/>
            <w:hideMark/>
          </w:tcPr>
          <w:p w14:paraId="69D46D85"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single" w:sz="4" w:space="0" w:color="auto"/>
              <w:right w:val="nil"/>
            </w:tcBorders>
            <w:shd w:val="clear" w:color="auto" w:fill="auto"/>
            <w:noWrap/>
            <w:vAlign w:val="center"/>
            <w:hideMark/>
          </w:tcPr>
          <w:p w14:paraId="157A880C"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single" w:sz="4" w:space="0" w:color="auto"/>
              <w:right w:val="nil"/>
            </w:tcBorders>
            <w:shd w:val="clear" w:color="auto" w:fill="auto"/>
            <w:noWrap/>
            <w:vAlign w:val="center"/>
            <w:hideMark/>
          </w:tcPr>
          <w:p w14:paraId="18C1EA16"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1.3</w:t>
            </w:r>
          </w:p>
        </w:tc>
        <w:tc>
          <w:tcPr>
            <w:tcW w:w="429" w:type="dxa"/>
            <w:tcBorders>
              <w:top w:val="nil"/>
              <w:left w:val="nil"/>
              <w:bottom w:val="single" w:sz="4" w:space="0" w:color="auto"/>
              <w:right w:val="nil"/>
            </w:tcBorders>
            <w:shd w:val="clear" w:color="auto" w:fill="auto"/>
            <w:noWrap/>
            <w:vAlign w:val="center"/>
            <w:hideMark/>
          </w:tcPr>
          <w:p w14:paraId="623E0A88"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0.78</w:t>
            </w:r>
          </w:p>
        </w:tc>
        <w:tc>
          <w:tcPr>
            <w:tcW w:w="428" w:type="dxa"/>
            <w:tcBorders>
              <w:top w:val="nil"/>
              <w:left w:val="nil"/>
              <w:bottom w:val="single" w:sz="4" w:space="0" w:color="auto"/>
              <w:right w:val="nil"/>
            </w:tcBorders>
            <w:shd w:val="clear" w:color="auto" w:fill="auto"/>
            <w:noWrap/>
            <w:vAlign w:val="center"/>
            <w:hideMark/>
          </w:tcPr>
          <w:p w14:paraId="0126FA9F" w14:textId="77777777" w:rsidR="002D558C" w:rsidRPr="00D14384" w:rsidRDefault="002D558C" w:rsidP="009427CF">
            <w:pPr>
              <w:keepLines/>
              <w:snapToGrid w:val="0"/>
              <w:spacing w:line="240" w:lineRule="auto"/>
              <w:jc w:val="center"/>
              <w:rPr>
                <w:sz w:val="20"/>
                <w:szCs w:val="16"/>
              </w:rPr>
            </w:pPr>
          </w:p>
        </w:tc>
        <w:tc>
          <w:tcPr>
            <w:tcW w:w="428" w:type="dxa"/>
            <w:tcBorders>
              <w:top w:val="nil"/>
              <w:left w:val="nil"/>
              <w:bottom w:val="single" w:sz="4" w:space="0" w:color="auto"/>
              <w:right w:val="nil"/>
            </w:tcBorders>
            <w:shd w:val="clear" w:color="auto" w:fill="auto"/>
            <w:noWrap/>
            <w:vAlign w:val="center"/>
            <w:hideMark/>
          </w:tcPr>
          <w:p w14:paraId="4F6958DD" w14:textId="77777777" w:rsidR="002D558C" w:rsidRPr="00D14384" w:rsidRDefault="002D558C" w:rsidP="009427CF">
            <w:pPr>
              <w:keepLines/>
              <w:snapToGrid w:val="0"/>
              <w:spacing w:line="240" w:lineRule="auto"/>
              <w:jc w:val="center"/>
              <w:rPr>
                <w:sz w:val="20"/>
                <w:szCs w:val="16"/>
              </w:rPr>
            </w:pPr>
          </w:p>
        </w:tc>
        <w:tc>
          <w:tcPr>
            <w:tcW w:w="428" w:type="dxa"/>
            <w:tcBorders>
              <w:top w:val="nil"/>
              <w:left w:val="nil"/>
              <w:bottom w:val="single" w:sz="4" w:space="0" w:color="auto"/>
              <w:right w:val="nil"/>
            </w:tcBorders>
            <w:shd w:val="clear" w:color="auto" w:fill="auto"/>
            <w:noWrap/>
            <w:vAlign w:val="center"/>
            <w:hideMark/>
          </w:tcPr>
          <w:p w14:paraId="1782EB7C" w14:textId="77777777" w:rsidR="002D558C" w:rsidRPr="00D14384" w:rsidRDefault="002D558C" w:rsidP="009427CF">
            <w:pPr>
              <w:keepLines/>
              <w:snapToGrid w:val="0"/>
              <w:spacing w:line="240" w:lineRule="auto"/>
              <w:jc w:val="center"/>
              <w:rPr>
                <w:color w:val="808080"/>
                <w:sz w:val="20"/>
                <w:szCs w:val="16"/>
              </w:rPr>
            </w:pPr>
            <w:r w:rsidRPr="00D14384">
              <w:rPr>
                <w:color w:val="808080"/>
                <w:sz w:val="20"/>
                <w:szCs w:val="16"/>
              </w:rPr>
              <w:t>0.82</w:t>
            </w:r>
          </w:p>
        </w:tc>
        <w:tc>
          <w:tcPr>
            <w:tcW w:w="429" w:type="dxa"/>
            <w:tcBorders>
              <w:top w:val="nil"/>
              <w:left w:val="nil"/>
              <w:bottom w:val="single" w:sz="4" w:space="0" w:color="auto"/>
              <w:right w:val="nil"/>
            </w:tcBorders>
            <w:shd w:val="clear" w:color="auto" w:fill="auto"/>
            <w:noWrap/>
            <w:vAlign w:val="center"/>
            <w:hideMark/>
          </w:tcPr>
          <w:p w14:paraId="1490A0C8" w14:textId="77777777" w:rsidR="002D558C" w:rsidRPr="00D14384" w:rsidRDefault="002D558C" w:rsidP="009427CF">
            <w:pPr>
              <w:keepLines/>
              <w:snapToGrid w:val="0"/>
              <w:spacing w:line="240" w:lineRule="auto"/>
              <w:jc w:val="center"/>
              <w:rPr>
                <w:sz w:val="20"/>
                <w:szCs w:val="16"/>
              </w:rPr>
            </w:pPr>
            <w:r w:rsidRPr="00D14384">
              <w:rPr>
                <w:sz w:val="20"/>
                <w:szCs w:val="16"/>
              </w:rPr>
              <w:t>13.4</w:t>
            </w:r>
          </w:p>
        </w:tc>
        <w:tc>
          <w:tcPr>
            <w:tcW w:w="428" w:type="dxa"/>
            <w:tcBorders>
              <w:top w:val="nil"/>
              <w:left w:val="nil"/>
              <w:bottom w:val="single" w:sz="4" w:space="0" w:color="auto"/>
              <w:right w:val="nil"/>
            </w:tcBorders>
            <w:shd w:val="clear" w:color="auto" w:fill="auto"/>
            <w:noWrap/>
            <w:vAlign w:val="center"/>
            <w:hideMark/>
          </w:tcPr>
          <w:p w14:paraId="0B74DCFF" w14:textId="77777777" w:rsidR="002D558C" w:rsidRPr="00D14384" w:rsidRDefault="002D558C" w:rsidP="009427CF">
            <w:pPr>
              <w:keepLines/>
              <w:snapToGrid w:val="0"/>
              <w:spacing w:line="240" w:lineRule="auto"/>
              <w:jc w:val="center"/>
              <w:rPr>
                <w:sz w:val="20"/>
                <w:szCs w:val="16"/>
              </w:rPr>
            </w:pPr>
            <w:r w:rsidRPr="00D14384">
              <w:rPr>
                <w:sz w:val="20"/>
                <w:szCs w:val="16"/>
              </w:rPr>
              <w:t>12.5</w:t>
            </w:r>
          </w:p>
        </w:tc>
        <w:tc>
          <w:tcPr>
            <w:tcW w:w="428" w:type="dxa"/>
            <w:tcBorders>
              <w:top w:val="nil"/>
              <w:left w:val="nil"/>
              <w:bottom w:val="single" w:sz="4" w:space="0" w:color="auto"/>
              <w:right w:val="nil"/>
            </w:tcBorders>
            <w:shd w:val="clear" w:color="auto" w:fill="auto"/>
            <w:noWrap/>
            <w:vAlign w:val="center"/>
            <w:hideMark/>
          </w:tcPr>
          <w:p w14:paraId="1D4EC8ED" w14:textId="77777777" w:rsidR="002D558C" w:rsidRPr="00D14384" w:rsidRDefault="002D558C" w:rsidP="009427CF">
            <w:pPr>
              <w:keepLines/>
              <w:snapToGrid w:val="0"/>
              <w:spacing w:line="240" w:lineRule="auto"/>
              <w:jc w:val="center"/>
              <w:rPr>
                <w:sz w:val="20"/>
                <w:szCs w:val="16"/>
              </w:rPr>
            </w:pPr>
            <w:r w:rsidRPr="00D14384">
              <w:rPr>
                <w:sz w:val="20"/>
                <w:szCs w:val="16"/>
              </w:rPr>
              <w:t>16.9</w:t>
            </w:r>
          </w:p>
        </w:tc>
        <w:tc>
          <w:tcPr>
            <w:tcW w:w="425" w:type="dxa"/>
            <w:tcBorders>
              <w:top w:val="nil"/>
              <w:left w:val="nil"/>
              <w:bottom w:val="single" w:sz="4" w:space="0" w:color="auto"/>
              <w:right w:val="nil"/>
            </w:tcBorders>
            <w:shd w:val="clear" w:color="auto" w:fill="auto"/>
            <w:noWrap/>
            <w:vAlign w:val="center"/>
            <w:hideMark/>
          </w:tcPr>
          <w:p w14:paraId="727EFEF7" w14:textId="77777777" w:rsidR="002D558C" w:rsidRPr="00D14384" w:rsidRDefault="002D558C" w:rsidP="009427CF">
            <w:pPr>
              <w:keepLines/>
              <w:snapToGrid w:val="0"/>
              <w:spacing w:line="240" w:lineRule="auto"/>
              <w:jc w:val="center"/>
              <w:rPr>
                <w:sz w:val="20"/>
                <w:szCs w:val="16"/>
              </w:rPr>
            </w:pPr>
          </w:p>
        </w:tc>
        <w:tc>
          <w:tcPr>
            <w:tcW w:w="429" w:type="dxa"/>
            <w:tcBorders>
              <w:top w:val="nil"/>
              <w:left w:val="nil"/>
              <w:bottom w:val="single" w:sz="4" w:space="0" w:color="auto"/>
              <w:right w:val="nil"/>
            </w:tcBorders>
            <w:shd w:val="clear" w:color="auto" w:fill="auto"/>
            <w:noWrap/>
            <w:vAlign w:val="center"/>
            <w:hideMark/>
          </w:tcPr>
          <w:p w14:paraId="0D0845E4" w14:textId="77777777" w:rsidR="002D558C" w:rsidRPr="00D14384" w:rsidRDefault="002D558C" w:rsidP="009427CF">
            <w:pPr>
              <w:keepLines/>
              <w:snapToGrid w:val="0"/>
              <w:spacing w:line="240" w:lineRule="auto"/>
              <w:jc w:val="center"/>
              <w:rPr>
                <w:sz w:val="20"/>
                <w:szCs w:val="16"/>
              </w:rPr>
            </w:pPr>
          </w:p>
        </w:tc>
        <w:tc>
          <w:tcPr>
            <w:tcW w:w="425" w:type="dxa"/>
            <w:tcBorders>
              <w:top w:val="nil"/>
              <w:left w:val="nil"/>
              <w:bottom w:val="single" w:sz="4" w:space="0" w:color="auto"/>
              <w:right w:val="nil"/>
            </w:tcBorders>
            <w:shd w:val="clear" w:color="auto" w:fill="auto"/>
            <w:noWrap/>
            <w:vAlign w:val="center"/>
            <w:hideMark/>
          </w:tcPr>
          <w:p w14:paraId="116DEE8F" w14:textId="77777777" w:rsidR="002D558C" w:rsidRPr="00D14384" w:rsidRDefault="002D558C" w:rsidP="009427CF">
            <w:pPr>
              <w:keepLines/>
              <w:snapToGrid w:val="0"/>
              <w:spacing w:line="240" w:lineRule="auto"/>
              <w:jc w:val="center"/>
              <w:rPr>
                <w:sz w:val="20"/>
                <w:szCs w:val="16"/>
              </w:rPr>
            </w:pPr>
            <w:r w:rsidRPr="00D14384">
              <w:rPr>
                <w:sz w:val="20"/>
                <w:szCs w:val="16"/>
              </w:rPr>
              <w:t>17.4</w:t>
            </w:r>
          </w:p>
        </w:tc>
        <w:tc>
          <w:tcPr>
            <w:tcW w:w="425" w:type="dxa"/>
            <w:tcBorders>
              <w:top w:val="nil"/>
              <w:left w:val="nil"/>
              <w:bottom w:val="single" w:sz="4" w:space="0" w:color="auto"/>
              <w:right w:val="nil"/>
            </w:tcBorders>
            <w:shd w:val="clear" w:color="auto" w:fill="auto"/>
            <w:noWrap/>
            <w:vAlign w:val="center"/>
            <w:hideMark/>
          </w:tcPr>
          <w:p w14:paraId="4165964D" w14:textId="77777777" w:rsidR="002D558C" w:rsidRPr="00D14384" w:rsidRDefault="002D558C" w:rsidP="009427CF">
            <w:pPr>
              <w:keepLines/>
              <w:snapToGrid w:val="0"/>
              <w:spacing w:line="240" w:lineRule="auto"/>
              <w:jc w:val="center"/>
              <w:rPr>
                <w:sz w:val="20"/>
                <w:szCs w:val="16"/>
              </w:rPr>
            </w:pPr>
            <w:r w:rsidRPr="00D14384">
              <w:rPr>
                <w:sz w:val="20"/>
                <w:szCs w:val="16"/>
              </w:rPr>
              <w:t>1.6*</w:t>
            </w:r>
          </w:p>
        </w:tc>
      </w:tr>
      <w:tr w:rsidR="002D558C" w:rsidRPr="00D14384" w14:paraId="3B42191A" w14:textId="77777777" w:rsidTr="009427CF">
        <w:trPr>
          <w:trHeight w:val="377"/>
        </w:trPr>
        <w:tc>
          <w:tcPr>
            <w:tcW w:w="8675" w:type="dxa"/>
            <w:gridSpan w:val="18"/>
            <w:tcBorders>
              <w:top w:val="single" w:sz="4" w:space="0" w:color="auto"/>
              <w:left w:val="nil"/>
              <w:bottom w:val="nil"/>
              <w:right w:val="nil"/>
            </w:tcBorders>
            <w:shd w:val="clear" w:color="auto" w:fill="auto"/>
            <w:noWrap/>
            <w:vAlign w:val="bottom"/>
          </w:tcPr>
          <w:p w14:paraId="5496B618" w14:textId="77777777" w:rsidR="002D558C" w:rsidRPr="00D14384" w:rsidRDefault="002D558C" w:rsidP="009427CF">
            <w:pPr>
              <w:keepNext/>
              <w:keepLines/>
              <w:spacing w:after="0" w:line="360" w:lineRule="auto"/>
              <w:rPr>
                <w:rFonts w:cs="Arial"/>
                <w:sz w:val="20"/>
                <w:szCs w:val="24"/>
                <w:lang w:eastAsia="en-US"/>
              </w:rPr>
            </w:pPr>
          </w:p>
          <w:p w14:paraId="34D4A5D7" w14:textId="77777777" w:rsidR="002D558C" w:rsidRPr="00D14384" w:rsidRDefault="002D558C" w:rsidP="009427CF">
            <w:pPr>
              <w:keepNext/>
              <w:keepLines/>
              <w:spacing w:after="0" w:line="360" w:lineRule="auto"/>
              <w:rPr>
                <w:rFonts w:cs="Arial"/>
                <w:sz w:val="20"/>
                <w:szCs w:val="24"/>
                <w:lang w:eastAsia="en-US"/>
              </w:rPr>
            </w:pPr>
            <w:r w:rsidRPr="00D14384">
              <w:rPr>
                <w:rFonts w:cs="Arial"/>
                <w:sz w:val="20"/>
                <w:szCs w:val="24"/>
                <w:lang w:eastAsia="en-US"/>
              </w:rPr>
              <w:t>*Unrepresentative value, data logging equipment failed after the point of acclimation.</w:t>
            </w:r>
          </w:p>
          <w:p w14:paraId="5CEAEAE4" w14:textId="77777777" w:rsidR="002D558C" w:rsidRPr="00D14384" w:rsidRDefault="002D558C" w:rsidP="009427CF">
            <w:pPr>
              <w:snapToGrid w:val="0"/>
              <w:spacing w:line="240" w:lineRule="auto"/>
              <w:rPr>
                <w:sz w:val="20"/>
                <w:szCs w:val="14"/>
              </w:rPr>
            </w:pPr>
          </w:p>
        </w:tc>
      </w:tr>
    </w:tbl>
    <w:p w14:paraId="455124BB" w14:textId="77777777" w:rsidR="002D558C" w:rsidRDefault="002D558C" w:rsidP="00CE28DC">
      <w:pPr>
        <w:spacing w:after="0" w:line="480" w:lineRule="auto"/>
        <w:ind w:left="0" w:right="0" w:firstLine="0"/>
        <w:rPr>
          <w:szCs w:val="24"/>
        </w:rPr>
      </w:pPr>
    </w:p>
    <w:p w14:paraId="1988DD8F" w14:textId="77777777" w:rsidR="002D558C" w:rsidRDefault="002D558C" w:rsidP="00CE28DC">
      <w:pPr>
        <w:spacing w:after="0" w:line="480" w:lineRule="auto"/>
        <w:ind w:left="0" w:right="0" w:firstLine="0"/>
        <w:rPr>
          <w:szCs w:val="24"/>
        </w:rPr>
      </w:pPr>
    </w:p>
    <w:p w14:paraId="1FEF5954" w14:textId="637BA850" w:rsidR="002D558C" w:rsidRPr="006E6D01" w:rsidRDefault="002D558C" w:rsidP="002D558C">
      <w:pPr>
        <w:pStyle w:val="Heading1"/>
        <w:spacing w:line="480" w:lineRule="auto"/>
        <w:rPr>
          <w:szCs w:val="24"/>
        </w:rPr>
      </w:pPr>
      <w:r>
        <w:rPr>
          <w:szCs w:val="24"/>
        </w:rPr>
        <w:t>References of SI</w:t>
      </w:r>
    </w:p>
    <w:p w14:paraId="1C06F306" w14:textId="2510A041" w:rsidR="00F278B0" w:rsidRPr="00550886" w:rsidRDefault="00F278B0" w:rsidP="00F278B0">
      <w:pPr>
        <w:tabs>
          <w:tab w:val="center" w:pos="0"/>
        </w:tabs>
        <w:spacing w:line="240" w:lineRule="auto"/>
        <w:ind w:left="851" w:right="0" w:hanging="720"/>
        <w:jc w:val="left"/>
        <w:rPr>
          <w:szCs w:val="24"/>
        </w:rPr>
      </w:pPr>
      <w:r w:rsidRPr="00550886">
        <w:rPr>
          <w:szCs w:val="24"/>
        </w:rPr>
        <w:t>Aelterman</w:t>
      </w:r>
      <w:r>
        <w:rPr>
          <w:szCs w:val="24"/>
        </w:rPr>
        <w:t>,</w:t>
      </w:r>
      <w:r w:rsidRPr="00550886">
        <w:rPr>
          <w:szCs w:val="24"/>
        </w:rPr>
        <w:t xml:space="preserve"> P</w:t>
      </w:r>
      <w:r>
        <w:rPr>
          <w:szCs w:val="24"/>
        </w:rPr>
        <w:t>.</w:t>
      </w:r>
      <w:r w:rsidRPr="00550886">
        <w:rPr>
          <w:szCs w:val="24"/>
        </w:rPr>
        <w:t>, Freguia</w:t>
      </w:r>
      <w:r>
        <w:rPr>
          <w:szCs w:val="24"/>
        </w:rPr>
        <w:t>,</w:t>
      </w:r>
      <w:r w:rsidRPr="00550886">
        <w:rPr>
          <w:szCs w:val="24"/>
        </w:rPr>
        <w:t xml:space="preserve"> S</w:t>
      </w:r>
      <w:r>
        <w:rPr>
          <w:szCs w:val="24"/>
        </w:rPr>
        <w:t>.</w:t>
      </w:r>
      <w:r w:rsidRPr="00550886">
        <w:rPr>
          <w:szCs w:val="24"/>
        </w:rPr>
        <w:t>, Keller</w:t>
      </w:r>
      <w:r>
        <w:rPr>
          <w:szCs w:val="24"/>
        </w:rPr>
        <w:t>,</w:t>
      </w:r>
      <w:r w:rsidRPr="00550886">
        <w:rPr>
          <w:szCs w:val="24"/>
        </w:rPr>
        <w:t xml:space="preserve"> J</w:t>
      </w:r>
      <w:r>
        <w:rPr>
          <w:szCs w:val="24"/>
        </w:rPr>
        <w:t>.</w:t>
      </w:r>
      <w:r w:rsidRPr="00550886">
        <w:rPr>
          <w:szCs w:val="24"/>
        </w:rPr>
        <w:t>, Verstraete</w:t>
      </w:r>
      <w:r>
        <w:rPr>
          <w:szCs w:val="24"/>
        </w:rPr>
        <w:t>,</w:t>
      </w:r>
      <w:r w:rsidRPr="00550886">
        <w:rPr>
          <w:szCs w:val="24"/>
        </w:rPr>
        <w:t xml:space="preserve"> W</w:t>
      </w:r>
      <w:r>
        <w:rPr>
          <w:szCs w:val="24"/>
        </w:rPr>
        <w:t>.</w:t>
      </w:r>
      <w:r w:rsidRPr="00550886">
        <w:rPr>
          <w:szCs w:val="24"/>
        </w:rPr>
        <w:t>, Rabaey</w:t>
      </w:r>
      <w:r>
        <w:rPr>
          <w:szCs w:val="24"/>
        </w:rPr>
        <w:t>,</w:t>
      </w:r>
      <w:r w:rsidRPr="00550886">
        <w:rPr>
          <w:szCs w:val="24"/>
        </w:rPr>
        <w:t xml:space="preserve"> K.</w:t>
      </w:r>
      <w:r w:rsidR="00F15396">
        <w:rPr>
          <w:szCs w:val="24"/>
        </w:rPr>
        <w:t>, 2008.</w:t>
      </w:r>
      <w:r>
        <w:rPr>
          <w:szCs w:val="24"/>
        </w:rPr>
        <w:t xml:space="preserve"> </w:t>
      </w:r>
      <w:r w:rsidRPr="00550886">
        <w:rPr>
          <w:szCs w:val="24"/>
        </w:rPr>
        <w:t>The anode potential regulates bacterial activity in microbial fuel cells.</w:t>
      </w:r>
      <w:r>
        <w:rPr>
          <w:szCs w:val="24"/>
        </w:rPr>
        <w:t xml:space="preserve"> </w:t>
      </w:r>
      <w:r w:rsidRPr="00C0248D">
        <w:rPr>
          <w:szCs w:val="24"/>
        </w:rPr>
        <w:t>Appl</w:t>
      </w:r>
      <w:r w:rsidR="004D1E47">
        <w:rPr>
          <w:szCs w:val="24"/>
        </w:rPr>
        <w:t>.</w:t>
      </w:r>
      <w:r w:rsidRPr="00C0248D">
        <w:rPr>
          <w:szCs w:val="24"/>
        </w:rPr>
        <w:t xml:space="preserve"> Microbiol</w:t>
      </w:r>
      <w:r w:rsidR="004D1E47">
        <w:rPr>
          <w:szCs w:val="24"/>
        </w:rPr>
        <w:t>.</w:t>
      </w:r>
      <w:r w:rsidRPr="00C0248D">
        <w:rPr>
          <w:szCs w:val="24"/>
        </w:rPr>
        <w:t xml:space="preserve"> Biotechnol</w:t>
      </w:r>
      <w:r w:rsidR="004D1E47">
        <w:rPr>
          <w:szCs w:val="24"/>
        </w:rPr>
        <w:t>.</w:t>
      </w:r>
      <w:r w:rsidRPr="00C0248D">
        <w:rPr>
          <w:szCs w:val="24"/>
        </w:rPr>
        <w:t xml:space="preserve"> 78</w:t>
      </w:r>
      <w:r w:rsidR="00C0248D" w:rsidRPr="00C0248D">
        <w:rPr>
          <w:szCs w:val="24"/>
        </w:rPr>
        <w:t>,</w:t>
      </w:r>
      <w:r w:rsidRPr="00C0248D">
        <w:rPr>
          <w:szCs w:val="24"/>
        </w:rPr>
        <w:t xml:space="preserve"> </w:t>
      </w:r>
      <w:r w:rsidRPr="00550886">
        <w:rPr>
          <w:szCs w:val="24"/>
        </w:rPr>
        <w:t>409-</w:t>
      </w:r>
      <w:r>
        <w:rPr>
          <w:szCs w:val="24"/>
        </w:rPr>
        <w:t>4</w:t>
      </w:r>
      <w:r w:rsidRPr="00550886">
        <w:rPr>
          <w:szCs w:val="24"/>
        </w:rPr>
        <w:t>18</w:t>
      </w:r>
      <w:r>
        <w:rPr>
          <w:szCs w:val="24"/>
        </w:rPr>
        <w:t xml:space="preserve">. </w:t>
      </w:r>
    </w:p>
    <w:p w14:paraId="66D999E7" w14:textId="77777777" w:rsidR="002D558C" w:rsidRDefault="002D558C" w:rsidP="002D558C">
      <w:pPr>
        <w:pStyle w:val="EndNoteBibliography"/>
        <w:spacing w:after="0"/>
        <w:ind w:left="851" w:hanging="720"/>
      </w:pPr>
      <w:r w:rsidRPr="00BE245A">
        <w:t xml:space="preserve">APHA (ed). </w:t>
      </w:r>
      <w:r>
        <w:t>(1998)</w:t>
      </w:r>
      <w:r w:rsidRPr="00BE245A">
        <w:t xml:space="preserve"> </w:t>
      </w:r>
      <w:r w:rsidRPr="001A1CA3">
        <w:t>Standard Methods for the Examination of Water and Wastewater.</w:t>
      </w:r>
      <w:r w:rsidRPr="00BE245A">
        <w:t xml:space="preserve"> </w:t>
      </w:r>
      <w:r>
        <w:t>20</w:t>
      </w:r>
      <w:r w:rsidRPr="009C6E57">
        <w:rPr>
          <w:vertAlign w:val="superscript"/>
        </w:rPr>
        <w:t>nd</w:t>
      </w:r>
      <w:r>
        <w:t xml:space="preserve"> edition. Washington DC:</w:t>
      </w:r>
      <w:r w:rsidRPr="00600CFB">
        <w:t xml:space="preserve"> </w:t>
      </w:r>
      <w:r>
        <w:t>American Public Health Association.</w:t>
      </w:r>
    </w:p>
    <w:p w14:paraId="17DD3A9B" w14:textId="75027D44" w:rsidR="00E518F3" w:rsidRDefault="00E518F3" w:rsidP="002D558C">
      <w:pPr>
        <w:pStyle w:val="EndNoteBibliography"/>
        <w:spacing w:after="0"/>
        <w:ind w:left="851" w:hanging="720"/>
      </w:pPr>
      <w:r w:rsidRPr="00E518F3">
        <w:t>Blodgett, R.J., 2005. Upper and lower bounds for a serial dilution test. J. AOAC Internat. 88, 1227-1230.</w:t>
      </w:r>
    </w:p>
    <w:p w14:paraId="1401A3DF" w14:textId="4EAF2223" w:rsidR="00F15396" w:rsidRPr="00BE245A" w:rsidRDefault="00F15396" w:rsidP="002D558C">
      <w:pPr>
        <w:pStyle w:val="EndNoteBibliography"/>
        <w:spacing w:after="0"/>
        <w:ind w:left="851" w:hanging="720"/>
      </w:pPr>
      <w:r w:rsidRPr="00F15396">
        <w:t>Blodgett, R.J., 2009. Planning a serial dilution test with multiple dilutions. Food Microbiol. 26, 421-424.</w:t>
      </w:r>
    </w:p>
    <w:p w14:paraId="3E22299B" w14:textId="6AF46D0C" w:rsidR="00F15396" w:rsidRDefault="002D558C" w:rsidP="00F15396">
      <w:pPr>
        <w:pStyle w:val="EndNoteBibliography"/>
        <w:spacing w:after="0"/>
        <w:ind w:left="851" w:hanging="720"/>
      </w:pPr>
      <w:r w:rsidRPr="00BE245A">
        <w:t>Call</w:t>
      </w:r>
      <w:r>
        <w:t>,</w:t>
      </w:r>
      <w:r w:rsidRPr="00BE245A">
        <w:t xml:space="preserve"> D</w:t>
      </w:r>
      <w:r>
        <w:t>.</w:t>
      </w:r>
      <w:r w:rsidRPr="00BE245A">
        <w:t>, Logan</w:t>
      </w:r>
      <w:r>
        <w:t>,</w:t>
      </w:r>
      <w:r w:rsidRPr="00BE245A">
        <w:t xml:space="preserve"> B</w:t>
      </w:r>
      <w:r>
        <w:t>.</w:t>
      </w:r>
      <w:r w:rsidRPr="00BE245A">
        <w:t>E.</w:t>
      </w:r>
      <w:r w:rsidR="00C0248D">
        <w:t>,</w:t>
      </w:r>
      <w:r w:rsidRPr="00BE245A">
        <w:t xml:space="preserve"> 2008</w:t>
      </w:r>
      <w:r w:rsidR="00C0248D">
        <w:t>.</w:t>
      </w:r>
      <w:r w:rsidRPr="00BE245A">
        <w:t xml:space="preserve"> Hydrogen production in a single chamber microbial electrolysis cell l</w:t>
      </w:r>
      <w:r>
        <w:t xml:space="preserve">acking a membrane. </w:t>
      </w:r>
      <w:r w:rsidRPr="00C0248D">
        <w:t>Environ</w:t>
      </w:r>
      <w:r w:rsidR="004D1E47">
        <w:t>.</w:t>
      </w:r>
      <w:r w:rsidRPr="00C0248D">
        <w:t xml:space="preserve"> Sci</w:t>
      </w:r>
      <w:r w:rsidR="004D1E47">
        <w:t>.</w:t>
      </w:r>
      <w:r w:rsidRPr="00C0248D">
        <w:t xml:space="preserve"> Technol</w:t>
      </w:r>
      <w:r w:rsidR="004D1E47">
        <w:t>.</w:t>
      </w:r>
      <w:r w:rsidRPr="00C0248D">
        <w:t xml:space="preserve"> 42</w:t>
      </w:r>
      <w:r w:rsidR="00C0248D">
        <w:t>,</w:t>
      </w:r>
      <w:r>
        <w:t xml:space="preserve"> </w:t>
      </w:r>
      <w:r w:rsidRPr="00BE245A">
        <w:t>3401-3406.</w:t>
      </w:r>
    </w:p>
    <w:p w14:paraId="259242D8" w14:textId="68527E8B" w:rsidR="00F15396" w:rsidRPr="00BE245A" w:rsidRDefault="00F15396" w:rsidP="002D558C">
      <w:pPr>
        <w:pStyle w:val="EndNoteBibliography"/>
        <w:spacing w:after="0"/>
        <w:ind w:left="851" w:hanging="720"/>
      </w:pPr>
      <w:r>
        <w:t xml:space="preserve">Garthright, W.E., </w:t>
      </w:r>
      <w:r w:rsidRPr="00F15396">
        <w:t>Blodgett, R.J., 2003. FDA's preferred MPN methods for standard, large or unusual tests, with a spreadsheet. Food Microbiol. 20, 439-445.</w:t>
      </w:r>
    </w:p>
    <w:p w14:paraId="1F73BD56" w14:textId="77777777" w:rsidR="00E518F3" w:rsidRDefault="00E518F3" w:rsidP="002D558C">
      <w:pPr>
        <w:pStyle w:val="EndNoteBibliography"/>
        <w:spacing w:after="0"/>
        <w:ind w:left="851" w:hanging="720"/>
      </w:pPr>
      <w:bookmarkStart w:id="1" w:name="_ENREF_12"/>
      <w:r w:rsidRPr="00BE245A">
        <w:lastRenderedPageBreak/>
        <w:t>Haldane</w:t>
      </w:r>
      <w:r>
        <w:t>,</w:t>
      </w:r>
      <w:r w:rsidRPr="00BE245A">
        <w:t xml:space="preserve"> J</w:t>
      </w:r>
      <w:r>
        <w:t>.</w:t>
      </w:r>
      <w:r w:rsidRPr="00BE245A">
        <w:t>B</w:t>
      </w:r>
      <w:r>
        <w:t xml:space="preserve">.S., </w:t>
      </w:r>
      <w:r w:rsidRPr="00BE245A">
        <w:t>1939</w:t>
      </w:r>
      <w:r>
        <w:t>.</w:t>
      </w:r>
      <w:r w:rsidRPr="00BE245A">
        <w:t xml:space="preserve"> Sampling errors in the determination of bacterial or virus density by the dilution method. </w:t>
      </w:r>
      <w:r w:rsidRPr="00F04D94">
        <w:t>J</w:t>
      </w:r>
      <w:r>
        <w:t>.</w:t>
      </w:r>
      <w:r w:rsidRPr="00F04D94">
        <w:t xml:space="preserve"> Hyg</w:t>
      </w:r>
      <w:r>
        <w:t>.</w:t>
      </w:r>
      <w:r w:rsidRPr="00F04D94">
        <w:t xml:space="preserve"> (London)</w:t>
      </w:r>
      <w:r w:rsidRPr="00BE245A">
        <w:t xml:space="preserve"> </w:t>
      </w:r>
      <w:r w:rsidRPr="00F04D94">
        <w:t>39</w:t>
      </w:r>
      <w:r>
        <w:t xml:space="preserve">, </w:t>
      </w:r>
      <w:r w:rsidRPr="00BE245A">
        <w:t>289-293</w:t>
      </w:r>
    </w:p>
    <w:p w14:paraId="694412DD" w14:textId="363353F3" w:rsidR="002D558C" w:rsidRDefault="002D558C" w:rsidP="002D558C">
      <w:pPr>
        <w:pStyle w:val="EndNoteBibliography"/>
        <w:spacing w:after="0"/>
        <w:ind w:left="851" w:hanging="720"/>
      </w:pPr>
      <w:r w:rsidRPr="00BE245A">
        <w:t>Ishii</w:t>
      </w:r>
      <w:r>
        <w:t>, S.-I.</w:t>
      </w:r>
      <w:r w:rsidRPr="00BE245A">
        <w:t>, Watanabe</w:t>
      </w:r>
      <w:r>
        <w:t>,</w:t>
      </w:r>
      <w:r w:rsidRPr="00BE245A">
        <w:t xml:space="preserve"> K</w:t>
      </w:r>
      <w:r>
        <w:t>.</w:t>
      </w:r>
      <w:r w:rsidRPr="00BE245A">
        <w:t>, Yabuki</w:t>
      </w:r>
      <w:r>
        <w:t>,</w:t>
      </w:r>
      <w:r w:rsidRPr="00BE245A">
        <w:t xml:space="preserve"> S</w:t>
      </w:r>
      <w:r>
        <w:t>.</w:t>
      </w:r>
      <w:r w:rsidRPr="00BE245A">
        <w:t>, Logan</w:t>
      </w:r>
      <w:r>
        <w:t>,</w:t>
      </w:r>
      <w:r w:rsidRPr="00BE245A">
        <w:t xml:space="preserve"> B</w:t>
      </w:r>
      <w:r>
        <w:t>.</w:t>
      </w:r>
      <w:r w:rsidRPr="00BE245A">
        <w:t>E</w:t>
      </w:r>
      <w:r>
        <w:t>.</w:t>
      </w:r>
      <w:r w:rsidRPr="00BE245A">
        <w:t>, Sekiguchi</w:t>
      </w:r>
      <w:r>
        <w:t>,</w:t>
      </w:r>
      <w:r w:rsidR="004D1E47">
        <w:t xml:space="preserve"> Y., </w:t>
      </w:r>
      <w:r w:rsidRPr="00BE245A">
        <w:t>2008</w:t>
      </w:r>
      <w:r w:rsidR="004D1E47">
        <w:t>.</w:t>
      </w:r>
      <w:r>
        <w:t xml:space="preserve"> Comparison of electrode reduction a</w:t>
      </w:r>
      <w:r w:rsidRPr="00BE245A">
        <w:t xml:space="preserve">ctivities of </w:t>
      </w:r>
      <w:r w:rsidRPr="00D14D7A">
        <w:rPr>
          <w:i/>
        </w:rPr>
        <w:t>Geobacter sulfurreducens</w:t>
      </w:r>
      <w:r>
        <w:t xml:space="preserve"> and an enriched consortium in an air-cathode microbial fuel c</w:t>
      </w:r>
      <w:r w:rsidRPr="00BE245A">
        <w:t xml:space="preserve">ell. </w:t>
      </w:r>
      <w:r w:rsidRPr="004D1E47">
        <w:t>Appl</w:t>
      </w:r>
      <w:r w:rsidR="004D1E47">
        <w:t>.</w:t>
      </w:r>
      <w:r w:rsidRPr="004D1E47">
        <w:t xml:space="preserve"> Environ</w:t>
      </w:r>
      <w:r w:rsidR="004D1E47">
        <w:t>.</w:t>
      </w:r>
      <w:r w:rsidRPr="004D1E47">
        <w:t xml:space="preserve"> Microbiol</w:t>
      </w:r>
      <w:r w:rsidR="004D1E47">
        <w:t>.</w:t>
      </w:r>
      <w:r w:rsidRPr="004D1E47">
        <w:t xml:space="preserve"> 74</w:t>
      </w:r>
      <w:r w:rsidR="004D1E47">
        <w:t>,</w:t>
      </w:r>
      <w:r>
        <w:t xml:space="preserve"> </w:t>
      </w:r>
      <w:r w:rsidRPr="00BE245A">
        <w:t>7348-7355.</w:t>
      </w:r>
      <w:r>
        <w:t xml:space="preserve"> </w:t>
      </w:r>
    </w:p>
    <w:p w14:paraId="7394A231" w14:textId="05897472" w:rsidR="002D558C" w:rsidRDefault="002D558C" w:rsidP="002D558C">
      <w:pPr>
        <w:pStyle w:val="EndNoteBibliography"/>
        <w:spacing w:after="0"/>
        <w:ind w:left="851" w:hanging="720"/>
      </w:pPr>
      <w:bookmarkStart w:id="2" w:name="_ENREF_16"/>
      <w:bookmarkEnd w:id="1"/>
      <w:r w:rsidRPr="00BE245A">
        <w:t>Logan</w:t>
      </w:r>
      <w:r>
        <w:t>,</w:t>
      </w:r>
      <w:r w:rsidRPr="00BE245A">
        <w:t xml:space="preserve"> B</w:t>
      </w:r>
      <w:r>
        <w:t>.E.</w:t>
      </w:r>
      <w:r w:rsidR="004D1E47">
        <w:t xml:space="preserve">, </w:t>
      </w:r>
      <w:r w:rsidRPr="00BE245A">
        <w:t>2008</w:t>
      </w:r>
      <w:r w:rsidR="004D1E47">
        <w:t>.</w:t>
      </w:r>
      <w:r w:rsidRPr="00BE245A">
        <w:t xml:space="preserve"> </w:t>
      </w:r>
      <w:r w:rsidRPr="001A1CA3">
        <w:t>Microbial Fuel Cells.</w:t>
      </w:r>
      <w:r w:rsidRPr="00BE245A">
        <w:t xml:space="preserve"> </w:t>
      </w:r>
      <w:r>
        <w:t xml:space="preserve">Hoboken, NJ: </w:t>
      </w:r>
      <w:r w:rsidRPr="00BE245A">
        <w:t>John Wiley &amp; Sons</w:t>
      </w:r>
      <w:bookmarkStart w:id="3" w:name="_ENREF_8"/>
      <w:bookmarkEnd w:id="2"/>
      <w:r>
        <w:t>.</w:t>
      </w:r>
    </w:p>
    <w:p w14:paraId="281F1FF2" w14:textId="23E54DC0" w:rsidR="002D558C" w:rsidRPr="00BE245A" w:rsidRDefault="002D558C" w:rsidP="002D558C">
      <w:pPr>
        <w:pStyle w:val="EndNoteBibliography"/>
        <w:spacing w:after="0"/>
        <w:ind w:left="851" w:right="0" w:hanging="720"/>
      </w:pPr>
      <w:r w:rsidRPr="00BE245A">
        <w:t>Miyahara</w:t>
      </w:r>
      <w:r>
        <w:t>,</w:t>
      </w:r>
      <w:r w:rsidRPr="00BE245A">
        <w:t xml:space="preserve"> M</w:t>
      </w:r>
      <w:r>
        <w:t>.</w:t>
      </w:r>
      <w:r w:rsidRPr="00BE245A">
        <w:t>, Hashimoto</w:t>
      </w:r>
      <w:r>
        <w:t>,</w:t>
      </w:r>
      <w:r w:rsidRPr="00BE245A">
        <w:t xml:space="preserve"> K</w:t>
      </w:r>
      <w:r>
        <w:t>.</w:t>
      </w:r>
      <w:r w:rsidRPr="00BE245A">
        <w:t>, Watanabe</w:t>
      </w:r>
      <w:r>
        <w:t>,</w:t>
      </w:r>
      <w:r w:rsidR="00F15396">
        <w:t xml:space="preserve"> K., </w:t>
      </w:r>
      <w:r w:rsidRPr="00BE245A">
        <w:t>2013</w:t>
      </w:r>
      <w:r w:rsidR="00F15396">
        <w:t>.</w:t>
      </w:r>
      <w:r w:rsidRPr="00BE245A">
        <w:t xml:space="preserve"> Use of cassette-electrode microbial fuel cell for w</w:t>
      </w:r>
      <w:r>
        <w:t xml:space="preserve">astewater treatment. </w:t>
      </w:r>
      <w:r w:rsidRPr="004D1E47">
        <w:t>J</w:t>
      </w:r>
      <w:r w:rsidR="004D1E47">
        <w:t>.</w:t>
      </w:r>
      <w:r w:rsidRPr="004D1E47">
        <w:t xml:space="preserve"> Biosci</w:t>
      </w:r>
      <w:r w:rsidR="004D1E47">
        <w:t>.</w:t>
      </w:r>
      <w:r w:rsidRPr="004D1E47">
        <w:t xml:space="preserve"> Bioeng</w:t>
      </w:r>
      <w:r w:rsidR="004D1E47">
        <w:t>.</w:t>
      </w:r>
      <w:r w:rsidRPr="004D1E47">
        <w:t xml:space="preserve"> 115</w:t>
      </w:r>
      <w:r w:rsidR="004D1E47" w:rsidRPr="004D1E47">
        <w:t>,</w:t>
      </w:r>
      <w:r>
        <w:t xml:space="preserve"> </w:t>
      </w:r>
      <w:r w:rsidRPr="00BE245A">
        <w:t>176-181.</w:t>
      </w:r>
      <w:r>
        <w:t xml:space="preserve"> </w:t>
      </w:r>
    </w:p>
    <w:p w14:paraId="0262508A" w14:textId="6EEF533C" w:rsidR="002D558C" w:rsidRDefault="002D558C" w:rsidP="002D558C">
      <w:pPr>
        <w:pStyle w:val="EndNoteBibliography"/>
        <w:spacing w:after="0"/>
        <w:ind w:left="851" w:hanging="720"/>
      </w:pPr>
      <w:r w:rsidRPr="00BE245A">
        <w:t>Shelton</w:t>
      </w:r>
      <w:r>
        <w:t>,</w:t>
      </w:r>
      <w:r w:rsidRPr="00BE245A">
        <w:t xml:space="preserve"> D</w:t>
      </w:r>
      <w:r>
        <w:t>.</w:t>
      </w:r>
      <w:r w:rsidRPr="00BE245A">
        <w:t>R</w:t>
      </w:r>
      <w:r>
        <w:t>.</w:t>
      </w:r>
      <w:r w:rsidRPr="00BE245A">
        <w:t>, Tiedje</w:t>
      </w:r>
      <w:r>
        <w:t>,</w:t>
      </w:r>
      <w:r w:rsidRPr="00BE245A">
        <w:t xml:space="preserve"> J</w:t>
      </w:r>
      <w:r>
        <w:t>.</w:t>
      </w:r>
      <w:r w:rsidR="004D1E47">
        <w:t xml:space="preserve">M., </w:t>
      </w:r>
      <w:r w:rsidRPr="00BE245A">
        <w:t>1984</w:t>
      </w:r>
      <w:r w:rsidR="004D1E47">
        <w:t>.</w:t>
      </w:r>
      <w:r w:rsidRPr="00BE245A">
        <w:t xml:space="preserve"> General method for determining anaerobic biodegradation p</w:t>
      </w:r>
      <w:r>
        <w:t xml:space="preserve">otential. </w:t>
      </w:r>
      <w:r w:rsidRPr="004D1E47">
        <w:t>Appl</w:t>
      </w:r>
      <w:r w:rsidR="004D1E47">
        <w:t>.</w:t>
      </w:r>
      <w:r w:rsidRPr="004D1E47">
        <w:t xml:space="preserve"> Environ</w:t>
      </w:r>
      <w:r w:rsidR="004D1E47">
        <w:t>.</w:t>
      </w:r>
      <w:r w:rsidRPr="004D1E47">
        <w:t xml:space="preserve"> Microbiol</w:t>
      </w:r>
      <w:r w:rsidR="004D1E47">
        <w:t>.</w:t>
      </w:r>
      <w:r w:rsidRPr="004D1E47">
        <w:t xml:space="preserve"> 47</w:t>
      </w:r>
      <w:r w:rsidR="004D1E47">
        <w:t>,</w:t>
      </w:r>
      <w:r>
        <w:t xml:space="preserve"> </w:t>
      </w:r>
      <w:r w:rsidRPr="00BE245A">
        <w:t>850-857.</w:t>
      </w:r>
    </w:p>
    <w:p w14:paraId="38FBF83F" w14:textId="59A0D3A7" w:rsidR="00E518F3" w:rsidRDefault="00E518F3" w:rsidP="002D558C">
      <w:pPr>
        <w:pStyle w:val="EndNoteBibliography"/>
        <w:spacing w:after="0"/>
        <w:ind w:left="851" w:hanging="720"/>
      </w:pPr>
      <w:r w:rsidRPr="00E518F3">
        <w:t>Thomas, H.A., 1942. Bacterial densities from fermentation tube tests. J. Am. Water Works Assoc. 34, 572-576.</w:t>
      </w:r>
    </w:p>
    <w:bookmarkEnd w:id="3"/>
    <w:p w14:paraId="684871EF" w14:textId="2A9E952C" w:rsidR="002D558C" w:rsidRDefault="002D558C" w:rsidP="002D558C">
      <w:pPr>
        <w:tabs>
          <w:tab w:val="center" w:pos="0"/>
        </w:tabs>
        <w:spacing w:line="240" w:lineRule="auto"/>
        <w:ind w:left="851" w:right="0" w:hanging="720"/>
        <w:jc w:val="left"/>
        <w:rPr>
          <w:szCs w:val="24"/>
        </w:rPr>
      </w:pPr>
      <w:r>
        <w:rPr>
          <w:szCs w:val="24"/>
        </w:rPr>
        <w:t>Zhang, F., De</w:t>
      </w:r>
      <w:r w:rsidR="00F15396">
        <w:rPr>
          <w:szCs w:val="24"/>
        </w:rPr>
        <w:t>epak Pant, D., Logan, B.E., 2011.</w:t>
      </w:r>
      <w:r>
        <w:rPr>
          <w:szCs w:val="24"/>
        </w:rPr>
        <w:t xml:space="preserve"> </w:t>
      </w:r>
      <w:r w:rsidRPr="00105333">
        <w:rPr>
          <w:szCs w:val="24"/>
        </w:rPr>
        <w:t>Long-term performance of activated carbon air cathodes with different diffusion layer porosities in microbial fuel cells</w:t>
      </w:r>
      <w:r>
        <w:rPr>
          <w:szCs w:val="24"/>
        </w:rPr>
        <w:t xml:space="preserve">. </w:t>
      </w:r>
      <w:r w:rsidRPr="004D1E47">
        <w:rPr>
          <w:szCs w:val="24"/>
        </w:rPr>
        <w:t>Biosens</w:t>
      </w:r>
      <w:r w:rsidR="004D1E47">
        <w:rPr>
          <w:szCs w:val="24"/>
        </w:rPr>
        <w:t>.</w:t>
      </w:r>
      <w:r w:rsidRPr="004D1E47">
        <w:rPr>
          <w:szCs w:val="24"/>
        </w:rPr>
        <w:t xml:space="preserve"> Bioelectr</w:t>
      </w:r>
      <w:r w:rsidR="004D1E47">
        <w:rPr>
          <w:szCs w:val="24"/>
        </w:rPr>
        <w:t>.</w:t>
      </w:r>
      <w:r w:rsidRPr="004D1E47">
        <w:rPr>
          <w:szCs w:val="24"/>
        </w:rPr>
        <w:t xml:space="preserve"> 30</w:t>
      </w:r>
      <w:r w:rsidR="004D1E47">
        <w:rPr>
          <w:szCs w:val="24"/>
        </w:rPr>
        <w:t>,</w:t>
      </w:r>
      <w:r>
        <w:rPr>
          <w:szCs w:val="24"/>
        </w:rPr>
        <w:t xml:space="preserve"> 49-55.</w:t>
      </w:r>
    </w:p>
    <w:sectPr w:rsidR="002D558C" w:rsidSect="00E13D34">
      <w:footerReference w:type="default" r:id="rId11"/>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E1C5A" w14:textId="77777777" w:rsidR="00F573BB" w:rsidRDefault="00F573BB" w:rsidP="007D2295">
      <w:pPr>
        <w:spacing w:after="0" w:line="240" w:lineRule="auto"/>
      </w:pPr>
      <w:r>
        <w:separator/>
      </w:r>
    </w:p>
  </w:endnote>
  <w:endnote w:type="continuationSeparator" w:id="0">
    <w:p w14:paraId="2DACC969" w14:textId="77777777" w:rsidR="00F573BB" w:rsidRDefault="00F573BB" w:rsidP="007D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7902"/>
      <w:docPartObj>
        <w:docPartGallery w:val="Page Numbers (Bottom of Page)"/>
        <w:docPartUnique/>
      </w:docPartObj>
    </w:sdtPr>
    <w:sdtEndPr>
      <w:rPr>
        <w:noProof/>
      </w:rPr>
    </w:sdtEndPr>
    <w:sdtContent>
      <w:p w14:paraId="42903FC5" w14:textId="77777777" w:rsidR="00F573BB" w:rsidRDefault="00F573BB">
        <w:pPr>
          <w:pStyle w:val="Footer"/>
          <w:jc w:val="center"/>
        </w:pPr>
        <w:r>
          <w:fldChar w:fldCharType="begin"/>
        </w:r>
        <w:r>
          <w:instrText xml:space="preserve"> PAGE   \* MERGEFORMAT </w:instrText>
        </w:r>
        <w:r>
          <w:fldChar w:fldCharType="separate"/>
        </w:r>
        <w:r w:rsidR="0099767E">
          <w:rPr>
            <w:noProof/>
          </w:rPr>
          <w:t>1</w:t>
        </w:r>
        <w:r>
          <w:rPr>
            <w:noProof/>
          </w:rPr>
          <w:fldChar w:fldCharType="end"/>
        </w:r>
      </w:p>
    </w:sdtContent>
  </w:sdt>
  <w:p w14:paraId="32EB4567" w14:textId="77777777" w:rsidR="00F573BB" w:rsidRDefault="00F57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981D7" w14:textId="77777777" w:rsidR="00F573BB" w:rsidRDefault="00F573BB" w:rsidP="007D2295">
      <w:pPr>
        <w:spacing w:after="0" w:line="240" w:lineRule="auto"/>
      </w:pPr>
      <w:r>
        <w:separator/>
      </w:r>
    </w:p>
  </w:footnote>
  <w:footnote w:type="continuationSeparator" w:id="0">
    <w:p w14:paraId="2356865C" w14:textId="77777777" w:rsidR="00F573BB" w:rsidRDefault="00F573BB" w:rsidP="007D2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5F32"/>
    <w:multiLevelType w:val="hybridMultilevel"/>
    <w:tmpl w:val="2B387FC4"/>
    <w:lvl w:ilvl="0" w:tplc="55CA8030">
      <w:start w:val="1"/>
      <w:numFmt w:val="decimal"/>
      <w:lvlText w:val="%1."/>
      <w:lvlJc w:val="left"/>
      <w:pPr>
        <w:ind w:left="490" w:hanging="360"/>
      </w:pPr>
      <w:rPr>
        <w:rFonts w:hint="default"/>
      </w:rPr>
    </w:lvl>
    <w:lvl w:ilvl="1" w:tplc="08090019" w:tentative="1">
      <w:start w:val="1"/>
      <w:numFmt w:val="lowerLetter"/>
      <w:lvlText w:val="%2."/>
      <w:lvlJc w:val="left"/>
      <w:pPr>
        <w:ind w:left="1210" w:hanging="360"/>
      </w:pPr>
    </w:lvl>
    <w:lvl w:ilvl="2" w:tplc="0809001B" w:tentative="1">
      <w:start w:val="1"/>
      <w:numFmt w:val="lowerRoman"/>
      <w:lvlText w:val="%3."/>
      <w:lvlJc w:val="right"/>
      <w:pPr>
        <w:ind w:left="1930" w:hanging="180"/>
      </w:pPr>
    </w:lvl>
    <w:lvl w:ilvl="3" w:tplc="0809000F" w:tentative="1">
      <w:start w:val="1"/>
      <w:numFmt w:val="decimal"/>
      <w:lvlText w:val="%4."/>
      <w:lvlJc w:val="left"/>
      <w:pPr>
        <w:ind w:left="2650" w:hanging="360"/>
      </w:pPr>
    </w:lvl>
    <w:lvl w:ilvl="4" w:tplc="08090019" w:tentative="1">
      <w:start w:val="1"/>
      <w:numFmt w:val="lowerLetter"/>
      <w:lvlText w:val="%5."/>
      <w:lvlJc w:val="left"/>
      <w:pPr>
        <w:ind w:left="3370" w:hanging="360"/>
      </w:pPr>
    </w:lvl>
    <w:lvl w:ilvl="5" w:tplc="0809001B" w:tentative="1">
      <w:start w:val="1"/>
      <w:numFmt w:val="lowerRoman"/>
      <w:lvlText w:val="%6."/>
      <w:lvlJc w:val="right"/>
      <w:pPr>
        <w:ind w:left="4090" w:hanging="180"/>
      </w:pPr>
    </w:lvl>
    <w:lvl w:ilvl="6" w:tplc="0809000F" w:tentative="1">
      <w:start w:val="1"/>
      <w:numFmt w:val="decimal"/>
      <w:lvlText w:val="%7."/>
      <w:lvlJc w:val="left"/>
      <w:pPr>
        <w:ind w:left="4810" w:hanging="360"/>
      </w:pPr>
    </w:lvl>
    <w:lvl w:ilvl="7" w:tplc="08090019" w:tentative="1">
      <w:start w:val="1"/>
      <w:numFmt w:val="lowerLetter"/>
      <w:lvlText w:val="%8."/>
      <w:lvlJc w:val="left"/>
      <w:pPr>
        <w:ind w:left="5530" w:hanging="360"/>
      </w:pPr>
    </w:lvl>
    <w:lvl w:ilvl="8" w:tplc="0809001B" w:tentative="1">
      <w:start w:val="1"/>
      <w:numFmt w:val="lowerRoman"/>
      <w:lvlText w:val="%9."/>
      <w:lvlJc w:val="right"/>
      <w:pPr>
        <w:ind w:left="6250" w:hanging="180"/>
      </w:pPr>
    </w:lvl>
  </w:abstractNum>
  <w:abstractNum w:abstractNumId="1" w15:restartNumberingAfterBreak="0">
    <w:nsid w:val="31CD3695"/>
    <w:multiLevelType w:val="hybridMultilevel"/>
    <w:tmpl w:val="7AA8151A"/>
    <w:lvl w:ilvl="0" w:tplc="0640015E">
      <w:start w:val="2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CA1FA">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A5BE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44FE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0CCB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0CBE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42EF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86EA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8160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522124"/>
    <w:multiLevelType w:val="hybridMultilevel"/>
    <w:tmpl w:val="29DE7820"/>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5662E"/>
    <w:multiLevelType w:val="hybridMultilevel"/>
    <w:tmpl w:val="504E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ENInstantFormat&gt;"/>
    <w:docVar w:name="EN.Layout" w:val="&lt;ENLayout&gt;&lt;Style&gt;ASM_Journals Cop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rrrtasfpes2e9e0v035azvs9zw5e2sarzvf&quot;&gt;phd-Saved&lt;record-ids&gt;&lt;item&gt;13&lt;/item&gt;&lt;item&gt;61&lt;/item&gt;&lt;item&gt;63&lt;/item&gt;&lt;item&gt;179&lt;/item&gt;&lt;item&gt;197&lt;/item&gt;&lt;item&gt;210&lt;/item&gt;&lt;item&gt;230&lt;/item&gt;&lt;item&gt;242&lt;/item&gt;&lt;item&gt;286&lt;/item&gt;&lt;item&gt;290&lt;/item&gt;&lt;item&gt;293&lt;/item&gt;&lt;item&gt;294&lt;/item&gt;&lt;item&gt;297&lt;/item&gt;&lt;item&gt;299&lt;/item&gt;&lt;item&gt;301&lt;/item&gt;&lt;item&gt;302&lt;/item&gt;&lt;item&gt;303&lt;/item&gt;&lt;item&gt;311&lt;/item&gt;&lt;item&gt;358&lt;/item&gt;&lt;item&gt;362&lt;/item&gt;&lt;item&gt;363&lt;/item&gt;&lt;item&gt;364&lt;/item&gt;&lt;item&gt;390&lt;/item&gt;&lt;item&gt;391&lt;/item&gt;&lt;item&gt;392&lt;/item&gt;&lt;item&gt;394&lt;/item&gt;&lt;item&gt;396&lt;/item&gt;&lt;item&gt;397&lt;/item&gt;&lt;item&gt;466&lt;/item&gt;&lt;item&gt;474&lt;/item&gt;&lt;item&gt;479&lt;/item&gt;&lt;item&gt;480&lt;/item&gt;&lt;item&gt;481&lt;/item&gt;&lt;item&gt;482&lt;/item&gt;&lt;item&gt;483&lt;/item&gt;&lt;item&gt;488&lt;/item&gt;&lt;item&gt;490&lt;/item&gt;&lt;item&gt;496&lt;/item&gt;&lt;item&gt;507&lt;/item&gt;&lt;/record-ids&gt;&lt;/item&gt;&lt;/Libraries&gt;"/>
  </w:docVars>
  <w:rsids>
    <w:rsidRoot w:val="009A542B"/>
    <w:rsid w:val="000025C7"/>
    <w:rsid w:val="00015AB0"/>
    <w:rsid w:val="00035A2D"/>
    <w:rsid w:val="00037063"/>
    <w:rsid w:val="00042B9C"/>
    <w:rsid w:val="00045A7D"/>
    <w:rsid w:val="00045FD8"/>
    <w:rsid w:val="00053F26"/>
    <w:rsid w:val="000545C7"/>
    <w:rsid w:val="00056BA2"/>
    <w:rsid w:val="00060B0B"/>
    <w:rsid w:val="000629C2"/>
    <w:rsid w:val="0006472B"/>
    <w:rsid w:val="0006625C"/>
    <w:rsid w:val="00072B5A"/>
    <w:rsid w:val="00073999"/>
    <w:rsid w:val="000739B4"/>
    <w:rsid w:val="0007423D"/>
    <w:rsid w:val="000840AB"/>
    <w:rsid w:val="00092DFF"/>
    <w:rsid w:val="00095089"/>
    <w:rsid w:val="000A201B"/>
    <w:rsid w:val="000A483F"/>
    <w:rsid w:val="000A66AB"/>
    <w:rsid w:val="000B20C7"/>
    <w:rsid w:val="000B5FF9"/>
    <w:rsid w:val="000C7E6D"/>
    <w:rsid w:val="000D55DF"/>
    <w:rsid w:val="000E1777"/>
    <w:rsid w:val="000E1FC0"/>
    <w:rsid w:val="000E7CDA"/>
    <w:rsid w:val="000F46C1"/>
    <w:rsid w:val="000F60BC"/>
    <w:rsid w:val="00107B90"/>
    <w:rsid w:val="0011568A"/>
    <w:rsid w:val="00124165"/>
    <w:rsid w:val="001259D1"/>
    <w:rsid w:val="001407F1"/>
    <w:rsid w:val="00141276"/>
    <w:rsid w:val="001423F7"/>
    <w:rsid w:val="00143FD8"/>
    <w:rsid w:val="0015007E"/>
    <w:rsid w:val="001517CE"/>
    <w:rsid w:val="0015389A"/>
    <w:rsid w:val="0015669E"/>
    <w:rsid w:val="00160117"/>
    <w:rsid w:val="001618DF"/>
    <w:rsid w:val="00162427"/>
    <w:rsid w:val="00166636"/>
    <w:rsid w:val="00174D68"/>
    <w:rsid w:val="00176B7F"/>
    <w:rsid w:val="00186BF4"/>
    <w:rsid w:val="00193B4C"/>
    <w:rsid w:val="0019579D"/>
    <w:rsid w:val="00196FF2"/>
    <w:rsid w:val="001A1B98"/>
    <w:rsid w:val="001A1CA3"/>
    <w:rsid w:val="001A1F92"/>
    <w:rsid w:val="001A339D"/>
    <w:rsid w:val="001A6F83"/>
    <w:rsid w:val="001B32E5"/>
    <w:rsid w:val="001C26F9"/>
    <w:rsid w:val="001C6D0C"/>
    <w:rsid w:val="001D1965"/>
    <w:rsid w:val="001D607B"/>
    <w:rsid w:val="001E31B3"/>
    <w:rsid w:val="001E49D7"/>
    <w:rsid w:val="001E4DEC"/>
    <w:rsid w:val="001E7A01"/>
    <w:rsid w:val="001F0937"/>
    <w:rsid w:val="001F4B26"/>
    <w:rsid w:val="0020392B"/>
    <w:rsid w:val="002071A5"/>
    <w:rsid w:val="00214BB3"/>
    <w:rsid w:val="002171C4"/>
    <w:rsid w:val="002177AB"/>
    <w:rsid w:val="00225674"/>
    <w:rsid w:val="00235750"/>
    <w:rsid w:val="0024787A"/>
    <w:rsid w:val="002537FF"/>
    <w:rsid w:val="00270BAD"/>
    <w:rsid w:val="00277830"/>
    <w:rsid w:val="00285D4D"/>
    <w:rsid w:val="00286725"/>
    <w:rsid w:val="00290D1A"/>
    <w:rsid w:val="002A1149"/>
    <w:rsid w:val="002A32FA"/>
    <w:rsid w:val="002B4889"/>
    <w:rsid w:val="002B6F02"/>
    <w:rsid w:val="002C25FD"/>
    <w:rsid w:val="002C34DC"/>
    <w:rsid w:val="002C442E"/>
    <w:rsid w:val="002D558C"/>
    <w:rsid w:val="002D6E65"/>
    <w:rsid w:val="002D79DA"/>
    <w:rsid w:val="002D7C37"/>
    <w:rsid w:val="002D7EC1"/>
    <w:rsid w:val="002E1355"/>
    <w:rsid w:val="002F00B2"/>
    <w:rsid w:val="002F06C8"/>
    <w:rsid w:val="002F6201"/>
    <w:rsid w:val="002F6D48"/>
    <w:rsid w:val="00305A50"/>
    <w:rsid w:val="00305D69"/>
    <w:rsid w:val="00307CBA"/>
    <w:rsid w:val="003134D6"/>
    <w:rsid w:val="00325223"/>
    <w:rsid w:val="00336A97"/>
    <w:rsid w:val="00336EB1"/>
    <w:rsid w:val="00340870"/>
    <w:rsid w:val="00343453"/>
    <w:rsid w:val="00343BFD"/>
    <w:rsid w:val="00347BA1"/>
    <w:rsid w:val="003533DC"/>
    <w:rsid w:val="003668F1"/>
    <w:rsid w:val="003716D6"/>
    <w:rsid w:val="003812BC"/>
    <w:rsid w:val="0038168E"/>
    <w:rsid w:val="00392AB7"/>
    <w:rsid w:val="003A3258"/>
    <w:rsid w:val="003A3F75"/>
    <w:rsid w:val="003A52BC"/>
    <w:rsid w:val="003B4A91"/>
    <w:rsid w:val="003B5746"/>
    <w:rsid w:val="003B7BE2"/>
    <w:rsid w:val="003C151A"/>
    <w:rsid w:val="003C1EA7"/>
    <w:rsid w:val="003C56B2"/>
    <w:rsid w:val="003D0AFE"/>
    <w:rsid w:val="003D3449"/>
    <w:rsid w:val="003D6894"/>
    <w:rsid w:val="003D76EE"/>
    <w:rsid w:val="003E0726"/>
    <w:rsid w:val="003F2506"/>
    <w:rsid w:val="003F2A7D"/>
    <w:rsid w:val="003F5C36"/>
    <w:rsid w:val="004005FA"/>
    <w:rsid w:val="00400EF1"/>
    <w:rsid w:val="0040138F"/>
    <w:rsid w:val="00406A59"/>
    <w:rsid w:val="00423375"/>
    <w:rsid w:val="00427649"/>
    <w:rsid w:val="00432715"/>
    <w:rsid w:val="00435786"/>
    <w:rsid w:val="00447684"/>
    <w:rsid w:val="004524CD"/>
    <w:rsid w:val="00460365"/>
    <w:rsid w:val="004857E1"/>
    <w:rsid w:val="0049772F"/>
    <w:rsid w:val="004B2D6B"/>
    <w:rsid w:val="004B5E56"/>
    <w:rsid w:val="004C43AB"/>
    <w:rsid w:val="004D1E47"/>
    <w:rsid w:val="004D4C25"/>
    <w:rsid w:val="004E1917"/>
    <w:rsid w:val="004E790C"/>
    <w:rsid w:val="004F01D4"/>
    <w:rsid w:val="004F6E1A"/>
    <w:rsid w:val="004F7F20"/>
    <w:rsid w:val="0050445F"/>
    <w:rsid w:val="00504537"/>
    <w:rsid w:val="00510E06"/>
    <w:rsid w:val="00514C2B"/>
    <w:rsid w:val="00516D3C"/>
    <w:rsid w:val="00517CE9"/>
    <w:rsid w:val="00521589"/>
    <w:rsid w:val="00527238"/>
    <w:rsid w:val="00536405"/>
    <w:rsid w:val="005374C5"/>
    <w:rsid w:val="00540757"/>
    <w:rsid w:val="005423C5"/>
    <w:rsid w:val="00550267"/>
    <w:rsid w:val="00550778"/>
    <w:rsid w:val="00551242"/>
    <w:rsid w:val="0057101D"/>
    <w:rsid w:val="005720BD"/>
    <w:rsid w:val="00584DD3"/>
    <w:rsid w:val="005850EA"/>
    <w:rsid w:val="00586318"/>
    <w:rsid w:val="00590AB8"/>
    <w:rsid w:val="005A10FF"/>
    <w:rsid w:val="005A44DD"/>
    <w:rsid w:val="005A703C"/>
    <w:rsid w:val="005B583B"/>
    <w:rsid w:val="005D4E0A"/>
    <w:rsid w:val="00610C49"/>
    <w:rsid w:val="00613399"/>
    <w:rsid w:val="0061357C"/>
    <w:rsid w:val="00616BA6"/>
    <w:rsid w:val="00620186"/>
    <w:rsid w:val="00624580"/>
    <w:rsid w:val="006264F7"/>
    <w:rsid w:val="00634F24"/>
    <w:rsid w:val="00641962"/>
    <w:rsid w:val="00666E98"/>
    <w:rsid w:val="006715C3"/>
    <w:rsid w:val="00675F3B"/>
    <w:rsid w:val="00691A7D"/>
    <w:rsid w:val="00694356"/>
    <w:rsid w:val="006A12AA"/>
    <w:rsid w:val="006B4E12"/>
    <w:rsid w:val="006B5C1E"/>
    <w:rsid w:val="006C4095"/>
    <w:rsid w:val="006C72EF"/>
    <w:rsid w:val="006D2AD0"/>
    <w:rsid w:val="006E39DA"/>
    <w:rsid w:val="006E6D01"/>
    <w:rsid w:val="007006C4"/>
    <w:rsid w:val="00700BA7"/>
    <w:rsid w:val="0071398F"/>
    <w:rsid w:val="00713AA2"/>
    <w:rsid w:val="00715D58"/>
    <w:rsid w:val="00720D81"/>
    <w:rsid w:val="00730961"/>
    <w:rsid w:val="00734DA6"/>
    <w:rsid w:val="00735418"/>
    <w:rsid w:val="007364AE"/>
    <w:rsid w:val="00740B0B"/>
    <w:rsid w:val="00743B71"/>
    <w:rsid w:val="00746FA5"/>
    <w:rsid w:val="00747392"/>
    <w:rsid w:val="00747A85"/>
    <w:rsid w:val="007509C0"/>
    <w:rsid w:val="00751837"/>
    <w:rsid w:val="00763BFE"/>
    <w:rsid w:val="00774892"/>
    <w:rsid w:val="007817D5"/>
    <w:rsid w:val="007818E0"/>
    <w:rsid w:val="00791A1D"/>
    <w:rsid w:val="00792387"/>
    <w:rsid w:val="007930C4"/>
    <w:rsid w:val="007A0F95"/>
    <w:rsid w:val="007B01D2"/>
    <w:rsid w:val="007B3907"/>
    <w:rsid w:val="007B6969"/>
    <w:rsid w:val="007D2295"/>
    <w:rsid w:val="007D6968"/>
    <w:rsid w:val="007E0D86"/>
    <w:rsid w:val="007E26A9"/>
    <w:rsid w:val="007F420C"/>
    <w:rsid w:val="007F6047"/>
    <w:rsid w:val="00803F27"/>
    <w:rsid w:val="00806905"/>
    <w:rsid w:val="00810664"/>
    <w:rsid w:val="00811659"/>
    <w:rsid w:val="00820D2D"/>
    <w:rsid w:val="00822D7B"/>
    <w:rsid w:val="008261EC"/>
    <w:rsid w:val="008264AA"/>
    <w:rsid w:val="00826821"/>
    <w:rsid w:val="00832A65"/>
    <w:rsid w:val="00837D03"/>
    <w:rsid w:val="0084395F"/>
    <w:rsid w:val="00852193"/>
    <w:rsid w:val="00853752"/>
    <w:rsid w:val="008547CA"/>
    <w:rsid w:val="00861B0E"/>
    <w:rsid w:val="00864455"/>
    <w:rsid w:val="00865D8C"/>
    <w:rsid w:val="00882984"/>
    <w:rsid w:val="00883003"/>
    <w:rsid w:val="008835D9"/>
    <w:rsid w:val="00896D73"/>
    <w:rsid w:val="008A3BA1"/>
    <w:rsid w:val="008A709A"/>
    <w:rsid w:val="008A7294"/>
    <w:rsid w:val="008B54A0"/>
    <w:rsid w:val="008C55AE"/>
    <w:rsid w:val="008E28DF"/>
    <w:rsid w:val="008E4D60"/>
    <w:rsid w:val="008F14DD"/>
    <w:rsid w:val="008F5046"/>
    <w:rsid w:val="008F5D73"/>
    <w:rsid w:val="008F68E0"/>
    <w:rsid w:val="008F770E"/>
    <w:rsid w:val="0090396B"/>
    <w:rsid w:val="00905269"/>
    <w:rsid w:val="00907374"/>
    <w:rsid w:val="00911700"/>
    <w:rsid w:val="00911CC3"/>
    <w:rsid w:val="0091595A"/>
    <w:rsid w:val="00921165"/>
    <w:rsid w:val="00927F7C"/>
    <w:rsid w:val="00930CE4"/>
    <w:rsid w:val="009346A9"/>
    <w:rsid w:val="00935F43"/>
    <w:rsid w:val="00937D4F"/>
    <w:rsid w:val="00942564"/>
    <w:rsid w:val="00957B78"/>
    <w:rsid w:val="009619E5"/>
    <w:rsid w:val="00961F53"/>
    <w:rsid w:val="009661EF"/>
    <w:rsid w:val="009665D6"/>
    <w:rsid w:val="0096750B"/>
    <w:rsid w:val="0096776B"/>
    <w:rsid w:val="00971B94"/>
    <w:rsid w:val="0097527B"/>
    <w:rsid w:val="00977A4E"/>
    <w:rsid w:val="00983C95"/>
    <w:rsid w:val="00984526"/>
    <w:rsid w:val="00984B25"/>
    <w:rsid w:val="00995DC1"/>
    <w:rsid w:val="0099767E"/>
    <w:rsid w:val="009976C5"/>
    <w:rsid w:val="009A542B"/>
    <w:rsid w:val="009B04AB"/>
    <w:rsid w:val="009B55B2"/>
    <w:rsid w:val="009B7EB7"/>
    <w:rsid w:val="009C11D6"/>
    <w:rsid w:val="009C5818"/>
    <w:rsid w:val="009C5A81"/>
    <w:rsid w:val="009C6021"/>
    <w:rsid w:val="009C6098"/>
    <w:rsid w:val="009C6E57"/>
    <w:rsid w:val="009D13CF"/>
    <w:rsid w:val="009E40FA"/>
    <w:rsid w:val="009E4EFF"/>
    <w:rsid w:val="009F2EC5"/>
    <w:rsid w:val="009F52A0"/>
    <w:rsid w:val="009F6F92"/>
    <w:rsid w:val="00A0489B"/>
    <w:rsid w:val="00A12E9D"/>
    <w:rsid w:val="00A3284A"/>
    <w:rsid w:val="00A450F8"/>
    <w:rsid w:val="00A4728A"/>
    <w:rsid w:val="00A51DDD"/>
    <w:rsid w:val="00A556B9"/>
    <w:rsid w:val="00A57519"/>
    <w:rsid w:val="00A62B1B"/>
    <w:rsid w:val="00A63699"/>
    <w:rsid w:val="00A675D7"/>
    <w:rsid w:val="00A7338F"/>
    <w:rsid w:val="00A75B5C"/>
    <w:rsid w:val="00A84030"/>
    <w:rsid w:val="00AA277A"/>
    <w:rsid w:val="00AA50E6"/>
    <w:rsid w:val="00AC760E"/>
    <w:rsid w:val="00AD2013"/>
    <w:rsid w:val="00AD267D"/>
    <w:rsid w:val="00AD3E1C"/>
    <w:rsid w:val="00AD5411"/>
    <w:rsid w:val="00AE1E47"/>
    <w:rsid w:val="00AF0EF1"/>
    <w:rsid w:val="00B205EF"/>
    <w:rsid w:val="00B22E8E"/>
    <w:rsid w:val="00B34F48"/>
    <w:rsid w:val="00B34FB7"/>
    <w:rsid w:val="00B36587"/>
    <w:rsid w:val="00B415F2"/>
    <w:rsid w:val="00B4520E"/>
    <w:rsid w:val="00B500F4"/>
    <w:rsid w:val="00B52299"/>
    <w:rsid w:val="00B5791A"/>
    <w:rsid w:val="00B60692"/>
    <w:rsid w:val="00B65B5C"/>
    <w:rsid w:val="00B7399A"/>
    <w:rsid w:val="00B81F40"/>
    <w:rsid w:val="00B842CE"/>
    <w:rsid w:val="00B87ADF"/>
    <w:rsid w:val="00B90583"/>
    <w:rsid w:val="00B92661"/>
    <w:rsid w:val="00B964F5"/>
    <w:rsid w:val="00B97ED2"/>
    <w:rsid w:val="00BA01D6"/>
    <w:rsid w:val="00BB4C52"/>
    <w:rsid w:val="00BC22BC"/>
    <w:rsid w:val="00BC2852"/>
    <w:rsid w:val="00BC33F1"/>
    <w:rsid w:val="00BC4160"/>
    <w:rsid w:val="00BD0568"/>
    <w:rsid w:val="00BD2AC9"/>
    <w:rsid w:val="00BD2E9F"/>
    <w:rsid w:val="00BD3FD2"/>
    <w:rsid w:val="00BE1023"/>
    <w:rsid w:val="00BE1D5E"/>
    <w:rsid w:val="00BE5EA9"/>
    <w:rsid w:val="00BF7399"/>
    <w:rsid w:val="00C0248D"/>
    <w:rsid w:val="00C17E5E"/>
    <w:rsid w:val="00C23CE4"/>
    <w:rsid w:val="00C27A6C"/>
    <w:rsid w:val="00C361FD"/>
    <w:rsid w:val="00C36D23"/>
    <w:rsid w:val="00C37816"/>
    <w:rsid w:val="00C50918"/>
    <w:rsid w:val="00C50EF2"/>
    <w:rsid w:val="00C63D85"/>
    <w:rsid w:val="00C71904"/>
    <w:rsid w:val="00C8467C"/>
    <w:rsid w:val="00C90834"/>
    <w:rsid w:val="00C92518"/>
    <w:rsid w:val="00C930EE"/>
    <w:rsid w:val="00C95EAA"/>
    <w:rsid w:val="00CA2FA7"/>
    <w:rsid w:val="00CA395D"/>
    <w:rsid w:val="00CC4F78"/>
    <w:rsid w:val="00CD011D"/>
    <w:rsid w:val="00CD5288"/>
    <w:rsid w:val="00CE28DC"/>
    <w:rsid w:val="00CE73B7"/>
    <w:rsid w:val="00D04D86"/>
    <w:rsid w:val="00D05092"/>
    <w:rsid w:val="00D167EB"/>
    <w:rsid w:val="00D17B12"/>
    <w:rsid w:val="00D22E7B"/>
    <w:rsid w:val="00D238C3"/>
    <w:rsid w:val="00D268F0"/>
    <w:rsid w:val="00D34F09"/>
    <w:rsid w:val="00D429B4"/>
    <w:rsid w:val="00D52C74"/>
    <w:rsid w:val="00D53B17"/>
    <w:rsid w:val="00D57403"/>
    <w:rsid w:val="00D70B38"/>
    <w:rsid w:val="00D719DA"/>
    <w:rsid w:val="00D73550"/>
    <w:rsid w:val="00D76A7E"/>
    <w:rsid w:val="00D76F85"/>
    <w:rsid w:val="00D91043"/>
    <w:rsid w:val="00DA2737"/>
    <w:rsid w:val="00DA58AE"/>
    <w:rsid w:val="00DB123F"/>
    <w:rsid w:val="00DB3EAB"/>
    <w:rsid w:val="00DB4212"/>
    <w:rsid w:val="00DC0380"/>
    <w:rsid w:val="00DC3069"/>
    <w:rsid w:val="00DC3876"/>
    <w:rsid w:val="00DC71A4"/>
    <w:rsid w:val="00DD4F19"/>
    <w:rsid w:val="00DE039D"/>
    <w:rsid w:val="00DE532D"/>
    <w:rsid w:val="00DF380D"/>
    <w:rsid w:val="00DF3A7C"/>
    <w:rsid w:val="00E004E0"/>
    <w:rsid w:val="00E03D55"/>
    <w:rsid w:val="00E13D34"/>
    <w:rsid w:val="00E15983"/>
    <w:rsid w:val="00E15E17"/>
    <w:rsid w:val="00E2057E"/>
    <w:rsid w:val="00E2141E"/>
    <w:rsid w:val="00E22783"/>
    <w:rsid w:val="00E305FF"/>
    <w:rsid w:val="00E45678"/>
    <w:rsid w:val="00E4718C"/>
    <w:rsid w:val="00E51714"/>
    <w:rsid w:val="00E518F3"/>
    <w:rsid w:val="00E56CC9"/>
    <w:rsid w:val="00E619DE"/>
    <w:rsid w:val="00E63BBF"/>
    <w:rsid w:val="00E65B14"/>
    <w:rsid w:val="00E65C41"/>
    <w:rsid w:val="00E74A90"/>
    <w:rsid w:val="00E77DE3"/>
    <w:rsid w:val="00E81FE3"/>
    <w:rsid w:val="00E85ADB"/>
    <w:rsid w:val="00E91036"/>
    <w:rsid w:val="00E9294E"/>
    <w:rsid w:val="00E96287"/>
    <w:rsid w:val="00E97141"/>
    <w:rsid w:val="00E9716F"/>
    <w:rsid w:val="00EA1491"/>
    <w:rsid w:val="00EB598B"/>
    <w:rsid w:val="00EB6108"/>
    <w:rsid w:val="00EC055A"/>
    <w:rsid w:val="00ED3A1F"/>
    <w:rsid w:val="00ED574C"/>
    <w:rsid w:val="00ED5B02"/>
    <w:rsid w:val="00EE1402"/>
    <w:rsid w:val="00EE2810"/>
    <w:rsid w:val="00EF2EB8"/>
    <w:rsid w:val="00EF473A"/>
    <w:rsid w:val="00EF6376"/>
    <w:rsid w:val="00F01B1A"/>
    <w:rsid w:val="00F02FF1"/>
    <w:rsid w:val="00F0643F"/>
    <w:rsid w:val="00F130BF"/>
    <w:rsid w:val="00F15396"/>
    <w:rsid w:val="00F16354"/>
    <w:rsid w:val="00F21E57"/>
    <w:rsid w:val="00F278B0"/>
    <w:rsid w:val="00F32912"/>
    <w:rsid w:val="00F32935"/>
    <w:rsid w:val="00F4490D"/>
    <w:rsid w:val="00F47599"/>
    <w:rsid w:val="00F54CFE"/>
    <w:rsid w:val="00F573BB"/>
    <w:rsid w:val="00F63D82"/>
    <w:rsid w:val="00F63DEF"/>
    <w:rsid w:val="00F64697"/>
    <w:rsid w:val="00F71558"/>
    <w:rsid w:val="00F7669C"/>
    <w:rsid w:val="00F84E3D"/>
    <w:rsid w:val="00F856BD"/>
    <w:rsid w:val="00F90243"/>
    <w:rsid w:val="00F93746"/>
    <w:rsid w:val="00FA0137"/>
    <w:rsid w:val="00FA3688"/>
    <w:rsid w:val="00FA3D27"/>
    <w:rsid w:val="00FA6BF0"/>
    <w:rsid w:val="00FA7EC6"/>
    <w:rsid w:val="00FB043D"/>
    <w:rsid w:val="00FB2180"/>
    <w:rsid w:val="00FC1866"/>
    <w:rsid w:val="00FC47BC"/>
    <w:rsid w:val="00FC6F46"/>
    <w:rsid w:val="00FC7DFD"/>
    <w:rsid w:val="00FC7EEC"/>
    <w:rsid w:val="00FD14AA"/>
    <w:rsid w:val="00FD26CA"/>
    <w:rsid w:val="00FD423A"/>
    <w:rsid w:val="00FD6F7F"/>
    <w:rsid w:val="00FE0921"/>
    <w:rsid w:val="00FE7F6A"/>
    <w:rsid w:val="00FF2807"/>
    <w:rsid w:val="00FF39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F045E"/>
  <w15:docId w15:val="{D9CE3FEC-087F-480A-8602-22885531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3"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1"/>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301"/>
      <w:ind w:right="3984"/>
      <w:jc w:val="right"/>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character" w:styleId="LineNumber">
    <w:name w:val="line number"/>
    <w:hidden/>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77A4E"/>
    <w:rPr>
      <w:sz w:val="16"/>
      <w:szCs w:val="16"/>
    </w:rPr>
  </w:style>
  <w:style w:type="paragraph" w:styleId="CommentText">
    <w:name w:val="annotation text"/>
    <w:basedOn w:val="Normal"/>
    <w:link w:val="CommentTextChar"/>
    <w:uiPriority w:val="99"/>
    <w:semiHidden/>
    <w:unhideWhenUsed/>
    <w:rsid w:val="00977A4E"/>
    <w:pPr>
      <w:spacing w:line="240" w:lineRule="auto"/>
    </w:pPr>
    <w:rPr>
      <w:sz w:val="20"/>
      <w:szCs w:val="20"/>
    </w:rPr>
  </w:style>
  <w:style w:type="character" w:customStyle="1" w:styleId="CommentTextChar">
    <w:name w:val="Comment Text Char"/>
    <w:basedOn w:val="DefaultParagraphFont"/>
    <w:link w:val="CommentText"/>
    <w:uiPriority w:val="99"/>
    <w:semiHidden/>
    <w:rsid w:val="00977A4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77A4E"/>
    <w:rPr>
      <w:b/>
      <w:bCs/>
    </w:rPr>
  </w:style>
  <w:style w:type="character" w:customStyle="1" w:styleId="CommentSubjectChar">
    <w:name w:val="Comment Subject Char"/>
    <w:basedOn w:val="CommentTextChar"/>
    <w:link w:val="CommentSubject"/>
    <w:uiPriority w:val="99"/>
    <w:semiHidden/>
    <w:rsid w:val="00977A4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77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A4E"/>
    <w:rPr>
      <w:rFonts w:ascii="Segoe UI" w:eastAsia="Times New Roman" w:hAnsi="Segoe UI" w:cs="Segoe UI"/>
      <w:color w:val="000000"/>
      <w:sz w:val="18"/>
      <w:szCs w:val="18"/>
    </w:rPr>
  </w:style>
  <w:style w:type="paragraph" w:styleId="Revision">
    <w:name w:val="Revision"/>
    <w:hidden/>
    <w:uiPriority w:val="99"/>
    <w:semiHidden/>
    <w:rsid w:val="00176B7F"/>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D2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29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2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295"/>
    <w:rPr>
      <w:rFonts w:ascii="Times New Roman" w:eastAsia="Times New Roman" w:hAnsi="Times New Roman" w:cs="Times New Roman"/>
      <w:color w:val="000000"/>
      <w:sz w:val="24"/>
    </w:rPr>
  </w:style>
  <w:style w:type="paragraph" w:customStyle="1" w:styleId="EndNoteBibliographyTitle">
    <w:name w:val="EndNote Bibliography Title"/>
    <w:basedOn w:val="Normal"/>
    <w:link w:val="EndNoteBibliographyTitleChar"/>
    <w:rsid w:val="0049772F"/>
    <w:pPr>
      <w:spacing w:after="0"/>
      <w:jc w:val="center"/>
    </w:pPr>
    <w:rPr>
      <w:noProof/>
    </w:rPr>
  </w:style>
  <w:style w:type="character" w:customStyle="1" w:styleId="EndNoteBibliographyTitleChar">
    <w:name w:val="EndNote Bibliography Title Char"/>
    <w:basedOn w:val="DefaultParagraphFont"/>
    <w:link w:val="EndNoteBibliographyTitle"/>
    <w:rsid w:val="0049772F"/>
    <w:rPr>
      <w:rFonts w:ascii="Times New Roman" w:eastAsia="Times New Roman" w:hAnsi="Times New Roman" w:cs="Times New Roman"/>
      <w:noProof/>
      <w:color w:val="000000"/>
      <w:sz w:val="24"/>
    </w:rPr>
  </w:style>
  <w:style w:type="paragraph" w:customStyle="1" w:styleId="EndNoteBibliography">
    <w:name w:val="EndNote Bibliography"/>
    <w:basedOn w:val="Normal"/>
    <w:link w:val="EndNoteBibliographyChar"/>
    <w:rsid w:val="0049772F"/>
    <w:pPr>
      <w:spacing w:line="240" w:lineRule="auto"/>
      <w:jc w:val="left"/>
    </w:pPr>
    <w:rPr>
      <w:noProof/>
    </w:rPr>
  </w:style>
  <w:style w:type="character" w:customStyle="1" w:styleId="EndNoteBibliographyChar">
    <w:name w:val="EndNote Bibliography Char"/>
    <w:basedOn w:val="DefaultParagraphFont"/>
    <w:link w:val="EndNoteBibliography"/>
    <w:rsid w:val="0049772F"/>
    <w:rPr>
      <w:rFonts w:ascii="Times New Roman" w:eastAsia="Times New Roman" w:hAnsi="Times New Roman" w:cs="Times New Roman"/>
      <w:noProof/>
      <w:color w:val="000000"/>
      <w:sz w:val="24"/>
    </w:rPr>
  </w:style>
  <w:style w:type="character" w:styleId="Hyperlink">
    <w:name w:val="Hyperlink"/>
    <w:basedOn w:val="DefaultParagraphFont"/>
    <w:uiPriority w:val="99"/>
    <w:unhideWhenUsed/>
    <w:rsid w:val="0049772F"/>
    <w:rPr>
      <w:color w:val="0563C1" w:themeColor="hyperlink"/>
      <w:u w:val="single"/>
    </w:rPr>
  </w:style>
  <w:style w:type="paragraph" w:styleId="ListParagraph">
    <w:name w:val="List Paragraph"/>
    <w:basedOn w:val="Normal"/>
    <w:uiPriority w:val="34"/>
    <w:qFormat/>
    <w:rsid w:val="00FE0921"/>
    <w:pPr>
      <w:ind w:left="720"/>
      <w:contextualSpacing/>
    </w:pPr>
  </w:style>
  <w:style w:type="paragraph" w:customStyle="1" w:styleId="smallcaption">
    <w:name w:val="small caption"/>
    <w:basedOn w:val="Normal"/>
    <w:rsid w:val="00A51DDD"/>
    <w:pPr>
      <w:keepNext/>
      <w:spacing w:before="100" w:beforeAutospacing="1" w:after="0" w:line="240" w:lineRule="auto"/>
      <w:ind w:left="0" w:right="0" w:firstLine="0"/>
      <w:jc w:val="left"/>
    </w:pPr>
    <w:rPr>
      <w:rFonts w:cs="Arial"/>
      <w:color w:val="auto"/>
      <w:sz w:val="18"/>
      <w:szCs w:val="24"/>
      <w:lang w:eastAsia="en-US"/>
    </w:rPr>
  </w:style>
  <w:style w:type="paragraph" w:styleId="Caption">
    <w:name w:val="caption"/>
    <w:basedOn w:val="Normal"/>
    <w:next w:val="Normal"/>
    <w:qFormat/>
    <w:rsid w:val="00F71558"/>
    <w:pPr>
      <w:keepNext/>
      <w:spacing w:before="120" w:after="120" w:line="360" w:lineRule="auto"/>
      <w:ind w:left="0" w:right="0" w:firstLine="0"/>
    </w:pPr>
    <w:rPr>
      <w:rFonts w:cs="Arial"/>
      <w:b/>
      <w:bCs/>
      <w:color w:val="auto"/>
      <w:sz w:val="20"/>
      <w:szCs w:val="20"/>
      <w:lang w:eastAsia="en-US"/>
    </w:rPr>
  </w:style>
  <w:style w:type="character" w:styleId="PlaceholderText">
    <w:name w:val="Placeholder Text"/>
    <w:basedOn w:val="DefaultParagraphFont"/>
    <w:uiPriority w:val="99"/>
    <w:semiHidden/>
    <w:rsid w:val="00C50918"/>
    <w:rPr>
      <w:color w:val="808080"/>
    </w:rPr>
  </w:style>
  <w:style w:type="table" w:styleId="TableGrid0">
    <w:name w:val="Table Grid"/>
    <w:basedOn w:val="TableNormal"/>
    <w:uiPriority w:val="59"/>
    <w:rsid w:val="002537FF"/>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4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76637">
      <w:bodyDiv w:val="1"/>
      <w:marLeft w:val="0"/>
      <w:marRight w:val="0"/>
      <w:marTop w:val="0"/>
      <w:marBottom w:val="0"/>
      <w:divBdr>
        <w:top w:val="none" w:sz="0" w:space="0" w:color="auto"/>
        <w:left w:val="none" w:sz="0" w:space="0" w:color="auto"/>
        <w:bottom w:val="none" w:sz="0" w:space="0" w:color="auto"/>
        <w:right w:val="none" w:sz="0" w:space="0" w:color="auto"/>
      </w:divBdr>
    </w:div>
    <w:div w:id="1180656720">
      <w:bodyDiv w:val="1"/>
      <w:marLeft w:val="0"/>
      <w:marRight w:val="0"/>
      <w:marTop w:val="0"/>
      <w:marBottom w:val="0"/>
      <w:divBdr>
        <w:top w:val="none" w:sz="0" w:space="0" w:color="auto"/>
        <w:left w:val="none" w:sz="0" w:space="0" w:color="auto"/>
        <w:bottom w:val="none" w:sz="0" w:space="0" w:color="auto"/>
        <w:right w:val="none" w:sz="0" w:space="0" w:color="auto"/>
      </w:divBdr>
    </w:div>
    <w:div w:id="1515610247">
      <w:bodyDiv w:val="1"/>
      <w:marLeft w:val="0"/>
      <w:marRight w:val="0"/>
      <w:marTop w:val="0"/>
      <w:marBottom w:val="0"/>
      <w:divBdr>
        <w:top w:val="none" w:sz="0" w:space="0" w:color="auto"/>
        <w:left w:val="none" w:sz="0" w:space="0" w:color="auto"/>
        <w:bottom w:val="none" w:sz="0" w:space="0" w:color="auto"/>
        <w:right w:val="none" w:sz="0" w:space="0" w:color="auto"/>
      </w:divBdr>
      <w:divsChild>
        <w:div w:id="300500512">
          <w:marLeft w:val="0"/>
          <w:marRight w:val="0"/>
          <w:marTop w:val="0"/>
          <w:marBottom w:val="0"/>
          <w:divBdr>
            <w:top w:val="single" w:sz="2" w:space="0" w:color="2E2E2E"/>
            <w:left w:val="single" w:sz="2" w:space="0" w:color="2E2E2E"/>
            <w:bottom w:val="single" w:sz="2" w:space="0" w:color="2E2E2E"/>
            <w:right w:val="single" w:sz="2" w:space="0" w:color="2E2E2E"/>
          </w:divBdr>
          <w:divsChild>
            <w:div w:id="643586245">
              <w:marLeft w:val="0"/>
              <w:marRight w:val="0"/>
              <w:marTop w:val="0"/>
              <w:marBottom w:val="0"/>
              <w:divBdr>
                <w:top w:val="single" w:sz="6" w:space="0" w:color="C9C9C9"/>
                <w:left w:val="none" w:sz="0" w:space="0" w:color="auto"/>
                <w:bottom w:val="none" w:sz="0" w:space="0" w:color="auto"/>
                <w:right w:val="none" w:sz="0" w:space="0" w:color="auto"/>
              </w:divBdr>
              <w:divsChild>
                <w:div w:id="1663511142">
                  <w:marLeft w:val="0"/>
                  <w:marRight w:val="0"/>
                  <w:marTop w:val="0"/>
                  <w:marBottom w:val="0"/>
                  <w:divBdr>
                    <w:top w:val="none" w:sz="0" w:space="0" w:color="auto"/>
                    <w:left w:val="none" w:sz="0" w:space="0" w:color="auto"/>
                    <w:bottom w:val="none" w:sz="0" w:space="0" w:color="auto"/>
                    <w:right w:val="none" w:sz="0" w:space="0" w:color="auto"/>
                  </w:divBdr>
                  <w:divsChild>
                    <w:div w:id="1843623710">
                      <w:marLeft w:val="0"/>
                      <w:marRight w:val="0"/>
                      <w:marTop w:val="0"/>
                      <w:marBottom w:val="0"/>
                      <w:divBdr>
                        <w:top w:val="none" w:sz="0" w:space="0" w:color="auto"/>
                        <w:left w:val="none" w:sz="0" w:space="0" w:color="auto"/>
                        <w:bottom w:val="none" w:sz="0" w:space="0" w:color="auto"/>
                        <w:right w:val="none" w:sz="0" w:space="0" w:color="auto"/>
                      </w:divBdr>
                      <w:divsChild>
                        <w:div w:id="1021013563">
                          <w:marLeft w:val="0"/>
                          <w:marRight w:val="0"/>
                          <w:marTop w:val="225"/>
                          <w:marBottom w:val="180"/>
                          <w:divBdr>
                            <w:top w:val="single" w:sz="6" w:space="0" w:color="D7D7D7"/>
                            <w:left w:val="single" w:sz="2" w:space="0" w:color="D7D7D7"/>
                            <w:bottom w:val="single" w:sz="6" w:space="0" w:color="D7D7D7"/>
                            <w:right w:val="single" w:sz="2" w:space="0" w:color="D7D7D7"/>
                          </w:divBdr>
                          <w:divsChild>
                            <w:div w:id="1151949061">
                              <w:marLeft w:val="0"/>
                              <w:marRight w:val="0"/>
                              <w:marTop w:val="0"/>
                              <w:marBottom w:val="0"/>
                              <w:divBdr>
                                <w:top w:val="none" w:sz="0" w:space="0" w:color="auto"/>
                                <w:left w:val="none" w:sz="0" w:space="0" w:color="auto"/>
                                <w:bottom w:val="none" w:sz="0" w:space="0" w:color="auto"/>
                                <w:right w:val="none" w:sz="0" w:space="0" w:color="auto"/>
                              </w:divBdr>
                              <w:divsChild>
                                <w:div w:id="13331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77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96085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dolfing@ncl.ac.uk" TargetMode="External"/><Relationship Id="rId4" Type="http://schemas.openxmlformats.org/officeDocument/2006/relationships/settings" Target="settings.xml"/><Relationship Id="rId9" Type="http://schemas.openxmlformats.org/officeDocument/2006/relationships/hyperlink" Target="http://www.sciencedirect.com/science/journal/09608524/218/sup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DAA1-A543-4A0B-9DA4-76F35228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Heidrich</dc:creator>
  <cp:lastModifiedBy>Chris Emmerson</cp:lastModifiedBy>
  <cp:revision>2</cp:revision>
  <cp:lastPrinted>2016-06-15T12:44:00Z</cp:lastPrinted>
  <dcterms:created xsi:type="dcterms:W3CDTF">2016-10-20T14:22:00Z</dcterms:created>
  <dcterms:modified xsi:type="dcterms:W3CDTF">2016-10-20T14:22:00Z</dcterms:modified>
</cp:coreProperties>
</file>